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30C3BF">
      <w:pPr>
        <w:jc w:val="center"/>
        <w:rPr>
          <w:rFonts w:hint="eastAsia" w:ascii="宋体" w:hAnsi="宋体" w:eastAsia="宋体" w:cs="宋体"/>
          <w:b/>
          <w:bCs/>
          <w:sz w:val="44"/>
          <w:szCs w:val="44"/>
        </w:rPr>
      </w:pPr>
      <w:r>
        <w:rPr>
          <w:rFonts w:hint="eastAsia" w:ascii="宋体" w:hAnsi="宋体" w:eastAsia="宋体" w:cs="宋体"/>
          <w:b/>
          <w:bCs/>
          <w:sz w:val="44"/>
          <w:szCs w:val="44"/>
        </w:rPr>
        <w:t>电子询价报价一览表</w:t>
      </w:r>
    </w:p>
    <w:p w14:paraId="071C65A0">
      <w:pPr>
        <w:pStyle w:val="3"/>
        <w:spacing w:line="360" w:lineRule="auto"/>
        <w:rPr>
          <w:rFonts w:hint="eastAsia" w:ascii="宋体" w:hAnsi="宋体" w:eastAsia="宋体" w:cs="宋体"/>
        </w:rPr>
      </w:pPr>
    </w:p>
    <w:p w14:paraId="7677F6A9">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项目名称：仁化县人民法院双源双视角安检机采购项目</w:t>
      </w:r>
    </w:p>
    <w:p w14:paraId="7CBBA14A">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项目编号：2026-154-GDHZ-DZX</w:t>
      </w:r>
    </w:p>
    <w:p w14:paraId="44F7F883">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预算金额：¥192,000.00                   </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618"/>
        <w:gridCol w:w="2942"/>
        <w:gridCol w:w="2095"/>
        <w:gridCol w:w="2370"/>
        <w:gridCol w:w="1168"/>
        <w:gridCol w:w="1513"/>
      </w:tblGrid>
      <w:tr w14:paraId="1AED5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97" w:hRule="atLeast"/>
          <w:jc w:val="center"/>
        </w:trPr>
        <w:tc>
          <w:tcPr>
            <w:tcW w:w="0" w:type="auto"/>
            <w:shd w:val="clear" w:color="auto" w:fill="FFFFFF"/>
            <w:noWrap w:val="0"/>
            <w:tcMar>
              <w:top w:w="60" w:type="dxa"/>
              <w:left w:w="120" w:type="dxa"/>
              <w:bottom w:w="60" w:type="dxa"/>
              <w:right w:w="120" w:type="dxa"/>
            </w:tcMar>
            <w:vAlign w:val="center"/>
          </w:tcPr>
          <w:p w14:paraId="06AD437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jc w:val="center"/>
              <w:rPr>
                <w:rFonts w:hint="eastAsia" w:ascii="宋体" w:hAnsi="宋体" w:eastAsia="宋体" w:cs="宋体"/>
                <w:b/>
                <w:bCs/>
                <w:i w:val="0"/>
                <w:iCs w:val="0"/>
                <w:caps w:val="0"/>
                <w:color w:val="auto"/>
                <w:spacing w:val="0"/>
                <w:sz w:val="24"/>
                <w:szCs w:val="24"/>
                <w:lang w:val="en-US" w:eastAsia="zh-CN"/>
              </w:rPr>
            </w:pPr>
            <w:r>
              <w:rPr>
                <w:rFonts w:hint="eastAsia" w:ascii="宋体" w:hAnsi="宋体" w:eastAsia="宋体" w:cs="宋体"/>
                <w:b/>
                <w:bCs/>
                <w:i w:val="0"/>
                <w:iCs w:val="0"/>
                <w:caps w:val="0"/>
                <w:color w:val="auto"/>
                <w:spacing w:val="0"/>
                <w:sz w:val="24"/>
                <w:szCs w:val="24"/>
                <w:lang w:val="en-US" w:eastAsia="zh-CN"/>
              </w:rPr>
              <w:t>序号</w:t>
            </w:r>
          </w:p>
        </w:tc>
        <w:tc>
          <w:tcPr>
            <w:tcW w:w="0" w:type="auto"/>
            <w:shd w:val="clear" w:color="auto" w:fill="FFFFFF"/>
            <w:noWrap w:val="0"/>
            <w:tcMar>
              <w:top w:w="60" w:type="dxa"/>
              <w:left w:w="120" w:type="dxa"/>
              <w:bottom w:w="60" w:type="dxa"/>
              <w:right w:w="120" w:type="dxa"/>
            </w:tcMar>
            <w:vAlign w:val="center"/>
          </w:tcPr>
          <w:p w14:paraId="1162B31F">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采购内容</w:t>
            </w:r>
          </w:p>
        </w:tc>
        <w:tc>
          <w:tcPr>
            <w:tcW w:w="0" w:type="auto"/>
            <w:shd w:val="clear" w:color="auto" w:fill="FFFFFF"/>
            <w:noWrap w:val="0"/>
            <w:tcMar>
              <w:top w:w="60" w:type="dxa"/>
              <w:left w:w="120" w:type="dxa"/>
              <w:bottom w:w="60" w:type="dxa"/>
              <w:right w:w="120" w:type="dxa"/>
            </w:tcMar>
            <w:vAlign w:val="center"/>
          </w:tcPr>
          <w:p w14:paraId="3019C3C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jc w:val="center"/>
              <w:rPr>
                <w:rFonts w:hint="eastAsia" w:ascii="宋体" w:hAnsi="宋体" w:eastAsia="宋体" w:cs="宋体"/>
                <w:b/>
                <w:bCs/>
                <w:i w:val="0"/>
                <w:iCs w:val="0"/>
                <w:caps w:val="0"/>
                <w:color w:val="auto"/>
                <w:spacing w:val="0"/>
                <w:sz w:val="24"/>
                <w:szCs w:val="24"/>
                <w:lang w:val="en-US" w:eastAsia="zh-CN"/>
              </w:rPr>
            </w:pPr>
            <w:r>
              <w:rPr>
                <w:rFonts w:hint="eastAsia" w:ascii="宋体" w:hAnsi="宋体" w:eastAsia="宋体" w:cs="宋体"/>
                <w:b/>
                <w:bCs/>
                <w:i w:val="0"/>
                <w:iCs w:val="0"/>
                <w:caps w:val="0"/>
                <w:color w:val="auto"/>
                <w:spacing w:val="0"/>
                <w:sz w:val="24"/>
                <w:szCs w:val="24"/>
                <w:lang w:val="en-US" w:eastAsia="zh-CN"/>
              </w:rPr>
              <w:t>采购需求的技术、服务要求</w:t>
            </w:r>
          </w:p>
        </w:tc>
        <w:tc>
          <w:tcPr>
            <w:tcW w:w="0" w:type="auto"/>
            <w:shd w:val="clear" w:color="auto" w:fill="FFFFFF"/>
            <w:noWrap w:val="0"/>
            <w:tcMar>
              <w:top w:w="60" w:type="dxa"/>
              <w:left w:w="120" w:type="dxa"/>
              <w:bottom w:w="60" w:type="dxa"/>
              <w:right w:w="120" w:type="dxa"/>
            </w:tcMar>
            <w:vAlign w:val="center"/>
          </w:tcPr>
          <w:p w14:paraId="7A8EE0AD">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rightChars="0"/>
              <w:jc w:val="center"/>
              <w:rPr>
                <w:rFonts w:hint="eastAsia" w:ascii="宋体" w:hAnsi="宋体" w:eastAsia="宋体" w:cs="宋体"/>
                <w:b/>
                <w:bCs/>
                <w:i w:val="0"/>
                <w:iCs w:val="0"/>
                <w:caps w:val="0"/>
                <w:color w:val="auto"/>
                <w:spacing w:val="0"/>
                <w:sz w:val="24"/>
                <w:szCs w:val="24"/>
                <w:lang w:val="en-US" w:eastAsia="zh-CN"/>
              </w:rPr>
            </w:pPr>
            <w:r>
              <w:rPr>
                <w:rFonts w:hint="eastAsia" w:ascii="宋体" w:hAnsi="宋体" w:eastAsia="宋体" w:cs="宋体"/>
                <w:b/>
                <w:bCs/>
                <w:i w:val="0"/>
                <w:iCs w:val="0"/>
                <w:caps w:val="0"/>
                <w:color w:val="auto"/>
                <w:spacing w:val="0"/>
                <w:sz w:val="24"/>
                <w:szCs w:val="24"/>
                <w:lang w:val="en-US" w:eastAsia="zh-CN"/>
              </w:rPr>
              <w:t>报价产品的技术、服务响应情况</w:t>
            </w:r>
          </w:p>
        </w:tc>
        <w:tc>
          <w:tcPr>
            <w:tcW w:w="0" w:type="auto"/>
            <w:shd w:val="clear" w:color="auto" w:fill="FFFFFF"/>
            <w:noWrap w:val="0"/>
            <w:tcMar>
              <w:top w:w="60" w:type="dxa"/>
              <w:left w:w="120" w:type="dxa"/>
              <w:bottom w:w="60" w:type="dxa"/>
              <w:right w:w="120" w:type="dxa"/>
            </w:tcMar>
            <w:vAlign w:val="center"/>
          </w:tcPr>
          <w:p w14:paraId="0C9E8AE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jc w:val="center"/>
              <w:rPr>
                <w:rFonts w:hint="eastAsia" w:ascii="宋体" w:hAnsi="宋体" w:eastAsia="宋体" w:cs="宋体"/>
                <w:b/>
                <w:bCs/>
                <w:i w:val="0"/>
                <w:iCs w:val="0"/>
                <w:caps w:val="0"/>
                <w:color w:val="auto"/>
                <w:spacing w:val="0"/>
                <w:sz w:val="24"/>
                <w:szCs w:val="24"/>
                <w:lang w:val="en-US" w:eastAsia="zh-CN"/>
              </w:rPr>
            </w:pPr>
            <w:r>
              <w:rPr>
                <w:rFonts w:hint="eastAsia" w:ascii="宋体" w:hAnsi="宋体" w:eastAsia="宋体" w:cs="宋体"/>
                <w:b/>
                <w:bCs/>
                <w:i w:val="0"/>
                <w:iCs w:val="0"/>
                <w:caps w:val="0"/>
                <w:color w:val="auto"/>
                <w:spacing w:val="0"/>
                <w:sz w:val="24"/>
                <w:szCs w:val="24"/>
                <w:lang w:val="en-US" w:eastAsia="zh-CN"/>
              </w:rPr>
              <w:t>是否满足要求</w:t>
            </w:r>
          </w:p>
        </w:tc>
        <w:tc>
          <w:tcPr>
            <w:tcW w:w="0" w:type="auto"/>
            <w:shd w:val="clear" w:color="auto" w:fill="FFFFFF"/>
            <w:noWrap w:val="0"/>
            <w:tcMar>
              <w:top w:w="60" w:type="dxa"/>
              <w:left w:w="120" w:type="dxa"/>
              <w:bottom w:w="60" w:type="dxa"/>
              <w:right w:w="120" w:type="dxa"/>
            </w:tcMar>
            <w:vAlign w:val="center"/>
          </w:tcPr>
          <w:p w14:paraId="27FB09BF">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jc w:val="center"/>
              <w:rPr>
                <w:rFonts w:hint="eastAsia" w:ascii="宋体" w:hAnsi="宋体" w:eastAsia="宋体" w:cs="宋体"/>
                <w:b/>
                <w:bCs/>
                <w:i w:val="0"/>
                <w:iCs w:val="0"/>
                <w:caps w:val="0"/>
                <w:color w:val="auto"/>
                <w:spacing w:val="0"/>
                <w:sz w:val="24"/>
                <w:szCs w:val="24"/>
                <w:lang w:val="en-US" w:eastAsia="zh-CN"/>
              </w:rPr>
            </w:pPr>
            <w:r>
              <w:rPr>
                <w:rFonts w:hint="eastAsia" w:ascii="宋体" w:hAnsi="宋体" w:eastAsia="宋体" w:cs="宋体"/>
                <w:b/>
                <w:bCs/>
                <w:i w:val="0"/>
                <w:iCs w:val="0"/>
                <w:caps w:val="0"/>
                <w:color w:val="auto"/>
                <w:spacing w:val="0"/>
                <w:sz w:val="24"/>
                <w:szCs w:val="24"/>
                <w:lang w:val="en-US" w:eastAsia="zh-CN"/>
              </w:rPr>
              <w:t>响应报价（元）</w:t>
            </w:r>
          </w:p>
        </w:tc>
      </w:tr>
      <w:tr w14:paraId="14F2B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7" w:hRule="atLeast"/>
          <w:jc w:val="center"/>
        </w:trPr>
        <w:tc>
          <w:tcPr>
            <w:tcW w:w="0" w:type="auto"/>
            <w:shd w:val="clear" w:color="auto" w:fill="FFFFFF"/>
            <w:noWrap w:val="0"/>
            <w:tcMar>
              <w:top w:w="60" w:type="dxa"/>
              <w:left w:w="120" w:type="dxa"/>
              <w:bottom w:w="60" w:type="dxa"/>
              <w:right w:w="120" w:type="dxa"/>
            </w:tcMar>
            <w:vAlign w:val="center"/>
          </w:tcPr>
          <w:p w14:paraId="2A5E1B6A">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jc w:val="center"/>
              <w:rPr>
                <w:rFonts w:hint="eastAsia" w:ascii="宋体" w:hAnsi="宋体" w:eastAsia="宋体" w:cs="宋体"/>
                <w:b w:val="0"/>
                <w:bCs w:val="0"/>
                <w:i w:val="0"/>
                <w:iCs w:val="0"/>
                <w:caps w:val="0"/>
                <w:color w:val="auto"/>
                <w:spacing w:val="0"/>
                <w:sz w:val="24"/>
                <w:szCs w:val="24"/>
                <w:lang w:val="en-US" w:eastAsia="zh-CN"/>
              </w:rPr>
            </w:pPr>
            <w:r>
              <w:rPr>
                <w:rFonts w:hint="eastAsia" w:ascii="宋体" w:hAnsi="宋体" w:eastAsia="宋体" w:cs="宋体"/>
                <w:b w:val="0"/>
                <w:bCs w:val="0"/>
                <w:i w:val="0"/>
                <w:iCs w:val="0"/>
                <w:caps w:val="0"/>
                <w:color w:val="auto"/>
                <w:spacing w:val="0"/>
                <w:sz w:val="24"/>
                <w:szCs w:val="24"/>
                <w:lang w:val="en-US" w:eastAsia="zh-CN"/>
              </w:rPr>
              <w:t>1</w:t>
            </w:r>
          </w:p>
        </w:tc>
        <w:tc>
          <w:tcPr>
            <w:tcW w:w="0" w:type="auto"/>
            <w:shd w:val="clear" w:color="auto" w:fill="FFFFFF"/>
            <w:noWrap w:val="0"/>
            <w:tcMar>
              <w:top w:w="60" w:type="dxa"/>
              <w:left w:w="120" w:type="dxa"/>
              <w:bottom w:w="60" w:type="dxa"/>
              <w:right w:w="120" w:type="dxa"/>
            </w:tcMar>
            <w:vAlign w:val="center"/>
          </w:tcPr>
          <w:p w14:paraId="36A1AAAF">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jc w:val="center"/>
              <w:rPr>
                <w:rStyle w:val="13"/>
                <w:rFonts w:hint="eastAsia" w:ascii="宋体" w:hAnsi="宋体" w:eastAsia="宋体" w:cs="宋体"/>
                <w:b w:val="0"/>
                <w:bCs w:val="0"/>
                <w:i w:val="0"/>
                <w:iCs w:val="0"/>
                <w:caps w:val="0"/>
                <w:color w:val="auto"/>
                <w:spacing w:val="0"/>
                <w:sz w:val="24"/>
                <w:szCs w:val="24"/>
                <w:lang w:eastAsia="zh-CN"/>
              </w:rPr>
            </w:pPr>
            <w:r>
              <w:rPr>
                <w:rStyle w:val="13"/>
                <w:rFonts w:hint="eastAsia" w:ascii="宋体" w:hAnsi="宋体" w:eastAsia="宋体" w:cs="宋体"/>
                <w:b w:val="0"/>
                <w:bCs w:val="0"/>
                <w:i w:val="0"/>
                <w:iCs w:val="0"/>
                <w:caps w:val="0"/>
                <w:color w:val="auto"/>
                <w:spacing w:val="0"/>
                <w:sz w:val="24"/>
                <w:szCs w:val="24"/>
                <w:lang w:val="en-US" w:eastAsia="zh-CN"/>
              </w:rPr>
              <w:t>仁化县人民法院双源双视角安检机采购项目</w:t>
            </w:r>
          </w:p>
        </w:tc>
        <w:tc>
          <w:tcPr>
            <w:tcW w:w="0" w:type="auto"/>
            <w:shd w:val="clear" w:color="auto" w:fill="FFFFFF"/>
            <w:noWrap w:val="0"/>
            <w:tcMar>
              <w:top w:w="60" w:type="dxa"/>
              <w:left w:w="120" w:type="dxa"/>
              <w:bottom w:w="60" w:type="dxa"/>
              <w:right w:w="120" w:type="dxa"/>
            </w:tcMar>
            <w:vAlign w:val="center"/>
          </w:tcPr>
          <w:p w14:paraId="3CD2040D">
            <w:pPr>
              <w:spacing w:line="360" w:lineRule="auto"/>
              <w:jc w:val="center"/>
              <w:rPr>
                <w:rFonts w:hint="eastAsia" w:ascii="宋体" w:hAnsi="宋体" w:eastAsia="宋体" w:cs="宋体"/>
                <w:b w:val="0"/>
                <w:bCs w:val="0"/>
                <w:i w:val="0"/>
                <w:iCs w:val="0"/>
                <w:caps w:val="0"/>
                <w:color w:val="auto"/>
                <w:spacing w:val="0"/>
                <w:sz w:val="24"/>
                <w:szCs w:val="24"/>
                <w:lang w:val="en-US" w:eastAsia="zh-CN"/>
              </w:rPr>
            </w:pPr>
            <w:r>
              <w:rPr>
                <w:rFonts w:hint="eastAsia" w:ascii="宋体" w:hAnsi="宋体" w:eastAsia="宋体" w:cs="宋体"/>
                <w:b w:val="0"/>
                <w:bCs w:val="0"/>
                <w:i w:val="0"/>
                <w:iCs w:val="0"/>
                <w:caps w:val="0"/>
                <w:color w:val="auto"/>
                <w:spacing w:val="0"/>
                <w:sz w:val="24"/>
                <w:szCs w:val="24"/>
                <w:lang w:val="en-US" w:eastAsia="zh-CN"/>
              </w:rPr>
              <w:t>详见《采购需求》</w:t>
            </w:r>
          </w:p>
        </w:tc>
        <w:tc>
          <w:tcPr>
            <w:tcW w:w="0" w:type="auto"/>
            <w:shd w:val="clear" w:color="auto" w:fill="FFFFFF"/>
            <w:noWrap w:val="0"/>
            <w:tcMar>
              <w:top w:w="60" w:type="dxa"/>
              <w:left w:w="120" w:type="dxa"/>
              <w:bottom w:w="60" w:type="dxa"/>
              <w:right w:w="120" w:type="dxa"/>
            </w:tcMar>
            <w:vAlign w:val="center"/>
          </w:tcPr>
          <w:p w14:paraId="0AC910AF">
            <w:pPr>
              <w:spacing w:line="360" w:lineRule="auto"/>
              <w:jc w:val="center"/>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完全响应</w:t>
            </w:r>
          </w:p>
        </w:tc>
        <w:tc>
          <w:tcPr>
            <w:tcW w:w="0" w:type="auto"/>
            <w:shd w:val="clear" w:color="auto" w:fill="FFFFFF"/>
            <w:noWrap w:val="0"/>
            <w:tcMar>
              <w:top w:w="60" w:type="dxa"/>
              <w:left w:w="120" w:type="dxa"/>
              <w:bottom w:w="60" w:type="dxa"/>
              <w:right w:w="120" w:type="dxa"/>
            </w:tcMar>
            <w:vAlign w:val="center"/>
          </w:tcPr>
          <w:p w14:paraId="0A6673E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jc w:val="center"/>
              <w:rPr>
                <w:rFonts w:hint="eastAsia" w:ascii="宋体" w:hAnsi="宋体" w:eastAsia="宋体" w:cs="宋体"/>
                <w:b w:val="0"/>
                <w:bCs w:val="0"/>
                <w:i w:val="0"/>
                <w:iCs w:val="0"/>
                <w:caps w:val="0"/>
                <w:color w:val="auto"/>
                <w:spacing w:val="0"/>
                <w:sz w:val="24"/>
                <w:szCs w:val="24"/>
                <w:lang w:val="en-US" w:eastAsia="zh-CN"/>
              </w:rPr>
            </w:pPr>
            <w:r>
              <w:rPr>
                <w:rFonts w:hint="eastAsia" w:ascii="宋体" w:hAnsi="宋体" w:eastAsia="宋体" w:cs="宋体"/>
                <w:color w:val="auto"/>
                <w:sz w:val="24"/>
                <w:lang w:val="en-US" w:eastAsia="zh-CN"/>
              </w:rPr>
              <w:t>满足</w:t>
            </w:r>
          </w:p>
        </w:tc>
        <w:tc>
          <w:tcPr>
            <w:tcW w:w="0" w:type="auto"/>
            <w:shd w:val="clear" w:color="auto" w:fill="FFFFFF"/>
            <w:noWrap w:val="0"/>
            <w:tcMar>
              <w:top w:w="60" w:type="dxa"/>
              <w:left w:w="120" w:type="dxa"/>
              <w:bottom w:w="60" w:type="dxa"/>
              <w:right w:w="120" w:type="dxa"/>
            </w:tcMar>
            <w:vAlign w:val="center"/>
          </w:tcPr>
          <w:p w14:paraId="5636E11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jc w:val="center"/>
              <w:rPr>
                <w:rFonts w:hint="eastAsia" w:ascii="宋体" w:hAnsi="宋体" w:eastAsia="宋体" w:cs="宋体"/>
                <w:b w:val="0"/>
                <w:bCs w:val="0"/>
                <w:i w:val="0"/>
                <w:iCs w:val="0"/>
                <w:caps w:val="0"/>
                <w:color w:val="auto"/>
                <w:spacing w:val="0"/>
                <w:sz w:val="24"/>
                <w:szCs w:val="24"/>
                <w:lang w:val="en-US" w:eastAsia="zh-CN"/>
              </w:rPr>
            </w:pPr>
            <w:r>
              <w:rPr>
                <w:rFonts w:hint="eastAsia" w:ascii="宋体" w:hAnsi="宋体" w:eastAsia="宋体" w:cs="宋体"/>
                <w:color w:val="auto"/>
                <w:sz w:val="24"/>
                <w:lang w:val="en-US" w:eastAsia="zh-CN"/>
              </w:rPr>
              <w:t>¥</w:t>
            </w:r>
          </w:p>
        </w:tc>
      </w:tr>
    </w:tbl>
    <w:p w14:paraId="47A36164">
      <w:pPr>
        <w:rPr>
          <w:rFonts w:hint="eastAsia" w:ascii="宋体" w:hAnsi="宋体" w:eastAsia="宋体" w:cs="宋体"/>
          <w:color w:val="auto"/>
          <w:kern w:val="2"/>
          <w:sz w:val="24"/>
          <w:szCs w:val="24"/>
          <w:highlight w:val="none"/>
          <w:lang w:val="en-US" w:eastAsia="zh-CN" w:bidi="ar-SA"/>
        </w:rPr>
      </w:pPr>
    </w:p>
    <w:p w14:paraId="2EAE81A7">
      <w:pPr>
        <w:rPr>
          <w:rFonts w:hint="eastAsia" w:ascii="宋体" w:hAnsi="宋体" w:eastAsia="宋体" w:cs="宋体"/>
          <w:color w:val="auto"/>
          <w:kern w:val="2"/>
          <w:sz w:val="24"/>
          <w:szCs w:val="24"/>
          <w:highlight w:val="none"/>
          <w:lang w:val="en-US" w:eastAsia="zh-CN" w:bidi="ar-SA"/>
        </w:rPr>
      </w:pPr>
    </w:p>
    <w:p w14:paraId="43D99B54">
      <w:pPr>
        <w:rPr>
          <w:rFonts w:hint="eastAsia" w:ascii="宋体" w:hAnsi="宋体" w:eastAsia="宋体" w:cs="宋体"/>
          <w:color w:val="auto"/>
          <w:kern w:val="2"/>
          <w:sz w:val="24"/>
          <w:szCs w:val="24"/>
          <w:highlight w:val="none"/>
          <w:lang w:val="en-US" w:eastAsia="zh-CN" w:bidi="ar-SA"/>
        </w:rPr>
      </w:pPr>
    </w:p>
    <w:p w14:paraId="09E1861F">
      <w:pPr>
        <w:rPr>
          <w:rFonts w:hint="eastAsia" w:ascii="宋体" w:hAnsi="宋体" w:eastAsia="宋体" w:cs="宋体"/>
          <w:color w:val="auto"/>
          <w:kern w:val="2"/>
          <w:sz w:val="24"/>
          <w:szCs w:val="24"/>
          <w:highlight w:val="none"/>
          <w:lang w:val="en-US" w:eastAsia="zh-CN" w:bidi="ar-SA"/>
        </w:rPr>
      </w:pPr>
    </w:p>
    <w:p w14:paraId="000A58DA">
      <w:pPr>
        <w:pStyle w:val="16"/>
        <w:ind w:left="0" w:leftChars="0" w:firstLine="0" w:firstLineChars="0"/>
        <w:rPr>
          <w:rFonts w:hint="eastAsia" w:ascii="宋体" w:hAnsi="宋体" w:eastAsia="宋体" w:cs="宋体"/>
          <w:sz w:val="21"/>
          <w:szCs w:val="21"/>
          <w:lang w:val="en-GB"/>
        </w:rPr>
      </w:pPr>
    </w:p>
    <w:p w14:paraId="69243670">
      <w:pPr>
        <w:adjustRightInd w:val="0"/>
        <w:snapToGrid w:val="0"/>
        <w:spacing w:line="360" w:lineRule="auto"/>
        <w:ind w:right="105" w:rightChars="50" w:firstLine="544" w:firstLineChars="227"/>
        <w:jc w:val="right"/>
        <w:rPr>
          <w:rFonts w:hint="eastAsia" w:ascii="宋体" w:hAnsi="宋体" w:eastAsia="宋体" w:cs="宋体"/>
          <w:sz w:val="24"/>
          <w:szCs w:val="24"/>
          <w:u w:val="single"/>
        </w:rPr>
      </w:pPr>
      <w:r>
        <w:rPr>
          <w:rFonts w:hint="eastAsia" w:ascii="宋体" w:hAnsi="宋体" w:eastAsia="宋体" w:cs="宋体"/>
          <w:sz w:val="24"/>
          <w:szCs w:val="24"/>
          <w:lang w:val="en-US" w:eastAsia="zh-CN"/>
        </w:rPr>
        <w:t>xxxx有限公司</w:t>
      </w:r>
      <w:r>
        <w:rPr>
          <w:rFonts w:hint="eastAsia" w:ascii="宋体" w:hAnsi="宋体" w:eastAsia="宋体" w:cs="宋体"/>
          <w:sz w:val="24"/>
          <w:szCs w:val="24"/>
        </w:rPr>
        <w:t>(单位公章)</w:t>
      </w:r>
      <w:r>
        <w:rPr>
          <w:rFonts w:hint="eastAsia" w:ascii="宋体" w:hAnsi="宋体" w:eastAsia="宋体" w:cs="宋体"/>
          <w:sz w:val="24"/>
          <w:szCs w:val="24"/>
          <w:u w:val="single"/>
        </w:rPr>
        <w:t xml:space="preserve">               </w:t>
      </w:r>
    </w:p>
    <w:p w14:paraId="3D7DE54A">
      <w:pPr>
        <w:jc w:val="right"/>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lang w:val="en-US" w:eastAsia="zh-CN"/>
        </w:rPr>
        <w:t>2026</w:t>
      </w:r>
      <w:r>
        <w:rPr>
          <w:rFonts w:hint="eastAsia" w:ascii="宋体" w:hAnsi="宋体" w:eastAsia="宋体" w:cs="宋体"/>
          <w:sz w:val="24"/>
          <w:szCs w:val="24"/>
        </w:rPr>
        <w:t>年</w:t>
      </w:r>
      <w:r>
        <w:rPr>
          <w:rFonts w:hint="eastAsia" w:ascii="宋体" w:hAnsi="宋体" w:eastAsia="宋体" w:cs="宋体"/>
          <w:sz w:val="24"/>
          <w:szCs w:val="24"/>
          <w:lang w:val="en-US" w:eastAsia="zh-CN"/>
        </w:rPr>
        <w:t>07</w:t>
      </w:r>
      <w:r>
        <w:rPr>
          <w:rFonts w:hint="eastAsia" w:ascii="宋体" w:hAnsi="宋体" w:eastAsia="宋体" w:cs="宋体"/>
          <w:sz w:val="24"/>
          <w:szCs w:val="24"/>
        </w:rPr>
        <w:t>月</w:t>
      </w:r>
      <w:r>
        <w:rPr>
          <w:rFonts w:hint="eastAsia" w:ascii="宋体" w:hAnsi="宋体" w:eastAsia="宋体" w:cs="宋体"/>
          <w:sz w:val="24"/>
          <w:szCs w:val="24"/>
          <w:lang w:val="en-US" w:eastAsia="zh-CN"/>
        </w:rPr>
        <w:t>XX</w:t>
      </w:r>
      <w:r>
        <w:rPr>
          <w:rFonts w:hint="eastAsia" w:ascii="宋体" w:hAnsi="宋体" w:eastAsia="宋体" w:cs="宋体"/>
          <w:sz w:val="24"/>
          <w:szCs w:val="24"/>
        </w:rPr>
        <w:t>日</w:t>
      </w:r>
    </w:p>
    <w:p w14:paraId="44F61715">
      <w:pPr>
        <w:jc w:val="right"/>
        <w:rPr>
          <w:rFonts w:hint="eastAsia" w:ascii="宋体" w:hAnsi="宋体" w:eastAsia="宋体" w:cs="宋体"/>
          <w:szCs w:val="21"/>
        </w:rPr>
      </w:pPr>
    </w:p>
    <w:p w14:paraId="4D85811B">
      <w:pPr>
        <w:jc w:val="right"/>
        <w:rPr>
          <w:rFonts w:hint="eastAsia" w:ascii="宋体" w:hAnsi="宋体" w:eastAsia="宋体" w:cs="宋体"/>
          <w:szCs w:val="21"/>
        </w:rPr>
      </w:pPr>
    </w:p>
    <w:p w14:paraId="4D77E628">
      <w:pPr>
        <w:jc w:val="right"/>
        <w:rPr>
          <w:rFonts w:hint="eastAsia" w:ascii="宋体" w:hAnsi="宋体" w:eastAsia="宋体" w:cs="宋体"/>
          <w:szCs w:val="21"/>
          <w:lang w:val="en-US" w:eastAsia="zh-CN"/>
        </w:rPr>
      </w:pPr>
    </w:p>
    <w:p w14:paraId="78550E12">
      <w:pPr>
        <w:jc w:val="center"/>
        <w:rPr>
          <w:rFonts w:hint="eastAsia" w:ascii="宋体" w:hAnsi="宋体" w:eastAsia="宋体" w:cs="宋体"/>
          <w:b/>
          <w:bCs/>
          <w:sz w:val="44"/>
          <w:szCs w:val="44"/>
        </w:rPr>
      </w:pPr>
    </w:p>
    <w:p w14:paraId="6C2077AD">
      <w:pPr>
        <w:jc w:val="center"/>
        <w:rPr>
          <w:rFonts w:hint="eastAsia" w:ascii="宋体" w:hAnsi="宋体" w:eastAsia="宋体" w:cs="宋体"/>
          <w:b/>
          <w:bCs/>
          <w:sz w:val="44"/>
          <w:szCs w:val="44"/>
        </w:rPr>
      </w:pPr>
    </w:p>
    <w:p w14:paraId="068FE9C8">
      <w:pPr>
        <w:jc w:val="center"/>
        <w:rPr>
          <w:rFonts w:hint="eastAsia" w:ascii="宋体" w:hAnsi="宋体" w:eastAsia="宋体" w:cs="宋体"/>
          <w:b/>
          <w:bCs/>
          <w:sz w:val="44"/>
          <w:szCs w:val="44"/>
        </w:rPr>
      </w:pPr>
    </w:p>
    <w:p w14:paraId="05F3A2C3">
      <w:pPr>
        <w:jc w:val="center"/>
        <w:rPr>
          <w:rFonts w:hint="eastAsia" w:ascii="宋体" w:hAnsi="宋体" w:eastAsia="宋体" w:cs="宋体"/>
          <w:b/>
          <w:bCs/>
          <w:sz w:val="44"/>
          <w:szCs w:val="44"/>
        </w:rPr>
      </w:pPr>
    </w:p>
    <w:p w14:paraId="4B9A3D16">
      <w:pPr>
        <w:jc w:val="center"/>
        <w:rPr>
          <w:rFonts w:hint="eastAsia" w:ascii="宋体" w:hAnsi="宋体" w:eastAsia="宋体" w:cs="宋体"/>
          <w:b/>
          <w:bCs/>
          <w:sz w:val="44"/>
          <w:szCs w:val="44"/>
        </w:rPr>
      </w:pPr>
    </w:p>
    <w:p w14:paraId="2E44E9D7">
      <w:pPr>
        <w:jc w:val="center"/>
        <w:rPr>
          <w:rFonts w:hint="eastAsia" w:ascii="宋体" w:hAnsi="宋体" w:eastAsia="宋体" w:cs="宋体"/>
          <w:b/>
          <w:bCs/>
          <w:sz w:val="44"/>
          <w:szCs w:val="44"/>
        </w:rPr>
      </w:pPr>
    </w:p>
    <w:p w14:paraId="5421D2B8">
      <w:pPr>
        <w:jc w:val="center"/>
        <w:rPr>
          <w:rFonts w:hint="eastAsia" w:ascii="宋体" w:hAnsi="宋体" w:eastAsia="宋体" w:cs="宋体"/>
          <w:b/>
          <w:bCs/>
          <w:sz w:val="44"/>
          <w:szCs w:val="44"/>
        </w:rPr>
      </w:pPr>
    </w:p>
    <w:p w14:paraId="7AD72A25">
      <w:pPr>
        <w:jc w:val="center"/>
        <w:rPr>
          <w:rFonts w:hint="eastAsia" w:ascii="宋体" w:hAnsi="宋体" w:eastAsia="宋体" w:cs="宋体"/>
          <w:b/>
          <w:bCs/>
          <w:sz w:val="44"/>
          <w:szCs w:val="44"/>
        </w:rPr>
      </w:pPr>
    </w:p>
    <w:p w14:paraId="0C8A05C5">
      <w:pPr>
        <w:jc w:val="center"/>
        <w:rPr>
          <w:rFonts w:hint="eastAsia" w:ascii="宋体" w:hAnsi="宋体" w:eastAsia="宋体" w:cs="宋体"/>
          <w:b/>
          <w:bCs/>
          <w:sz w:val="44"/>
          <w:szCs w:val="44"/>
        </w:rPr>
      </w:pPr>
    </w:p>
    <w:p w14:paraId="5636093F">
      <w:pPr>
        <w:jc w:val="both"/>
        <w:rPr>
          <w:rFonts w:hint="eastAsia" w:ascii="宋体" w:hAnsi="宋体" w:eastAsia="宋体" w:cs="宋体"/>
          <w:b/>
          <w:bCs/>
          <w:sz w:val="44"/>
          <w:szCs w:val="44"/>
        </w:rPr>
      </w:pPr>
    </w:p>
    <w:p w14:paraId="2B2EFFED">
      <w:pPr>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营业执照</w:t>
      </w:r>
    </w:p>
    <w:p w14:paraId="165B8277">
      <w:pPr>
        <w:jc w:val="center"/>
        <w:rPr>
          <w:rFonts w:hint="eastAsia" w:ascii="宋体" w:hAnsi="宋体" w:eastAsia="宋体" w:cs="宋体"/>
          <w:b/>
          <w:bCs/>
          <w:sz w:val="44"/>
          <w:szCs w:val="44"/>
          <w:lang w:val="en-US" w:eastAsia="zh-CN"/>
        </w:rPr>
      </w:pPr>
    </w:p>
    <w:p w14:paraId="6B144D2C">
      <w:pPr>
        <w:jc w:val="center"/>
        <w:rPr>
          <w:rFonts w:hint="eastAsia" w:ascii="宋体" w:hAnsi="宋体" w:eastAsia="宋体" w:cs="宋体"/>
          <w:b/>
          <w:bCs/>
          <w:sz w:val="44"/>
          <w:szCs w:val="44"/>
          <w:lang w:val="en-US" w:eastAsia="zh-CN"/>
        </w:rPr>
      </w:pPr>
    </w:p>
    <w:p w14:paraId="29A03498">
      <w:pPr>
        <w:jc w:val="center"/>
        <w:rPr>
          <w:rFonts w:hint="eastAsia" w:ascii="宋体" w:hAnsi="宋体" w:eastAsia="宋体" w:cs="宋体"/>
          <w:b/>
          <w:bCs/>
          <w:sz w:val="44"/>
          <w:szCs w:val="44"/>
          <w:lang w:val="en-US" w:eastAsia="zh-CN"/>
        </w:rPr>
      </w:pPr>
    </w:p>
    <w:p w14:paraId="290CEC9C">
      <w:pPr>
        <w:jc w:val="center"/>
        <w:rPr>
          <w:rFonts w:hint="eastAsia" w:ascii="宋体" w:hAnsi="宋体" w:eastAsia="宋体" w:cs="宋体"/>
          <w:b/>
          <w:bCs/>
          <w:sz w:val="44"/>
          <w:szCs w:val="44"/>
          <w:lang w:val="en-US" w:eastAsia="zh-CN"/>
        </w:rPr>
      </w:pPr>
    </w:p>
    <w:p w14:paraId="223364CD">
      <w:pPr>
        <w:jc w:val="center"/>
        <w:rPr>
          <w:rFonts w:hint="eastAsia" w:ascii="宋体" w:hAnsi="宋体" w:eastAsia="宋体" w:cs="宋体"/>
          <w:b/>
          <w:bCs/>
          <w:sz w:val="44"/>
          <w:szCs w:val="44"/>
          <w:lang w:val="en-US" w:eastAsia="zh-CN"/>
        </w:rPr>
      </w:pPr>
    </w:p>
    <w:p w14:paraId="0F38773E">
      <w:pPr>
        <w:jc w:val="center"/>
        <w:rPr>
          <w:rFonts w:hint="eastAsia" w:ascii="宋体" w:hAnsi="宋体" w:eastAsia="宋体" w:cs="宋体"/>
          <w:b/>
          <w:bCs/>
          <w:sz w:val="44"/>
          <w:szCs w:val="44"/>
          <w:lang w:val="en-US" w:eastAsia="zh-CN"/>
        </w:rPr>
      </w:pPr>
    </w:p>
    <w:p w14:paraId="4EF7F3A1">
      <w:pPr>
        <w:jc w:val="center"/>
        <w:rPr>
          <w:rFonts w:hint="eastAsia" w:ascii="宋体" w:hAnsi="宋体" w:eastAsia="宋体" w:cs="宋体"/>
          <w:b/>
          <w:bCs/>
          <w:sz w:val="44"/>
          <w:szCs w:val="44"/>
          <w:lang w:val="en-US" w:eastAsia="zh-CN"/>
        </w:rPr>
      </w:pPr>
    </w:p>
    <w:p w14:paraId="671091D1">
      <w:pPr>
        <w:jc w:val="center"/>
        <w:rPr>
          <w:rFonts w:hint="eastAsia" w:ascii="宋体" w:hAnsi="宋体" w:eastAsia="宋体" w:cs="宋体"/>
          <w:b/>
          <w:bCs/>
          <w:sz w:val="44"/>
          <w:szCs w:val="44"/>
          <w:lang w:val="en-US" w:eastAsia="zh-CN"/>
        </w:rPr>
      </w:pPr>
    </w:p>
    <w:p w14:paraId="11D200D3">
      <w:pPr>
        <w:jc w:val="center"/>
        <w:rPr>
          <w:rFonts w:hint="eastAsia" w:ascii="宋体" w:hAnsi="宋体" w:eastAsia="宋体" w:cs="宋体"/>
          <w:b/>
          <w:bCs/>
          <w:sz w:val="44"/>
          <w:szCs w:val="44"/>
          <w:lang w:val="en-US" w:eastAsia="zh-CN"/>
        </w:rPr>
      </w:pPr>
    </w:p>
    <w:p w14:paraId="4894027A">
      <w:pPr>
        <w:jc w:val="center"/>
        <w:rPr>
          <w:rFonts w:hint="eastAsia" w:ascii="宋体" w:hAnsi="宋体" w:eastAsia="宋体" w:cs="宋体"/>
          <w:b/>
          <w:bCs/>
          <w:sz w:val="44"/>
          <w:szCs w:val="44"/>
          <w:lang w:val="en-US" w:eastAsia="zh-CN"/>
        </w:rPr>
      </w:pPr>
    </w:p>
    <w:p w14:paraId="029050ED">
      <w:pPr>
        <w:jc w:val="center"/>
        <w:rPr>
          <w:rFonts w:hint="eastAsia" w:ascii="宋体" w:hAnsi="宋体" w:eastAsia="宋体" w:cs="宋体"/>
          <w:b/>
          <w:bCs/>
          <w:sz w:val="44"/>
          <w:szCs w:val="44"/>
          <w:lang w:val="en-US" w:eastAsia="zh-CN"/>
        </w:rPr>
      </w:pPr>
    </w:p>
    <w:p w14:paraId="53FBAE82">
      <w:pPr>
        <w:jc w:val="center"/>
        <w:rPr>
          <w:rFonts w:hint="eastAsia" w:ascii="宋体" w:hAnsi="宋体" w:eastAsia="宋体" w:cs="宋体"/>
          <w:b/>
          <w:bCs/>
          <w:sz w:val="44"/>
          <w:szCs w:val="44"/>
          <w:lang w:val="en-US" w:eastAsia="zh-CN"/>
        </w:rPr>
      </w:pPr>
    </w:p>
    <w:p w14:paraId="53D14240">
      <w:pPr>
        <w:jc w:val="center"/>
        <w:rPr>
          <w:rFonts w:hint="eastAsia" w:ascii="宋体" w:hAnsi="宋体" w:eastAsia="宋体" w:cs="宋体"/>
          <w:b/>
          <w:bCs/>
          <w:sz w:val="44"/>
          <w:szCs w:val="44"/>
          <w:lang w:val="en-US" w:eastAsia="zh-CN"/>
        </w:rPr>
      </w:pPr>
    </w:p>
    <w:p w14:paraId="1A6FA0C1">
      <w:pPr>
        <w:jc w:val="center"/>
        <w:rPr>
          <w:rFonts w:hint="eastAsia" w:ascii="宋体" w:hAnsi="宋体" w:eastAsia="宋体" w:cs="宋体"/>
          <w:b/>
          <w:bCs/>
          <w:sz w:val="44"/>
          <w:szCs w:val="44"/>
          <w:lang w:val="en-US" w:eastAsia="zh-CN"/>
        </w:rPr>
      </w:pPr>
    </w:p>
    <w:p w14:paraId="7CCEF930">
      <w:pPr>
        <w:jc w:val="center"/>
        <w:rPr>
          <w:rFonts w:hint="eastAsia" w:ascii="宋体" w:hAnsi="宋体" w:eastAsia="宋体" w:cs="宋体"/>
          <w:b/>
          <w:bCs/>
          <w:sz w:val="44"/>
          <w:szCs w:val="44"/>
          <w:lang w:val="en-US" w:eastAsia="zh-CN"/>
        </w:rPr>
      </w:pPr>
    </w:p>
    <w:p w14:paraId="49037A8D">
      <w:pPr>
        <w:jc w:val="center"/>
        <w:rPr>
          <w:rFonts w:hint="eastAsia" w:ascii="宋体" w:hAnsi="宋体" w:eastAsia="宋体" w:cs="宋体"/>
          <w:b/>
          <w:bCs/>
          <w:sz w:val="44"/>
          <w:szCs w:val="44"/>
          <w:lang w:val="en-US" w:eastAsia="zh-CN"/>
        </w:rPr>
      </w:pPr>
    </w:p>
    <w:p w14:paraId="6422D39A">
      <w:pPr>
        <w:jc w:val="center"/>
        <w:rPr>
          <w:rFonts w:hint="eastAsia" w:ascii="宋体" w:hAnsi="宋体" w:eastAsia="宋体" w:cs="宋体"/>
          <w:b/>
          <w:bCs/>
          <w:sz w:val="44"/>
          <w:szCs w:val="44"/>
          <w:lang w:val="en-US" w:eastAsia="zh-CN"/>
        </w:rPr>
      </w:pPr>
    </w:p>
    <w:p w14:paraId="37AA8453">
      <w:pPr>
        <w:jc w:val="center"/>
        <w:rPr>
          <w:rFonts w:hint="eastAsia" w:ascii="宋体" w:hAnsi="宋体" w:eastAsia="宋体" w:cs="宋体"/>
          <w:b/>
          <w:bCs/>
          <w:sz w:val="44"/>
          <w:szCs w:val="44"/>
          <w:lang w:val="en-US" w:eastAsia="zh-CN"/>
        </w:rPr>
      </w:pPr>
    </w:p>
    <w:p w14:paraId="4CD7D89F">
      <w:pPr>
        <w:jc w:val="center"/>
        <w:rPr>
          <w:rFonts w:hint="eastAsia" w:ascii="宋体" w:hAnsi="宋体" w:eastAsia="宋体" w:cs="宋体"/>
          <w:b/>
          <w:bCs/>
          <w:sz w:val="44"/>
          <w:szCs w:val="44"/>
          <w:lang w:val="en-US" w:eastAsia="zh-CN"/>
        </w:rPr>
      </w:pPr>
    </w:p>
    <w:p w14:paraId="64A0D837">
      <w:pPr>
        <w:jc w:val="center"/>
        <w:rPr>
          <w:rFonts w:hint="eastAsia" w:ascii="宋体" w:hAnsi="宋体" w:eastAsia="宋体" w:cs="宋体"/>
          <w:b/>
          <w:bCs/>
          <w:sz w:val="44"/>
          <w:szCs w:val="44"/>
          <w:lang w:val="en-US" w:eastAsia="zh-CN"/>
        </w:rPr>
      </w:pPr>
    </w:p>
    <w:p w14:paraId="2C07DADA">
      <w:pPr>
        <w:jc w:val="center"/>
        <w:rPr>
          <w:rFonts w:hint="eastAsia" w:ascii="宋体" w:hAnsi="宋体" w:eastAsia="宋体" w:cs="宋体"/>
          <w:b/>
          <w:bCs/>
          <w:sz w:val="44"/>
          <w:szCs w:val="44"/>
          <w:lang w:val="en-US" w:eastAsia="zh-CN"/>
        </w:rPr>
      </w:pPr>
    </w:p>
    <w:p w14:paraId="25B5D066">
      <w:pPr>
        <w:jc w:val="both"/>
        <w:rPr>
          <w:rFonts w:hint="eastAsia" w:ascii="宋体" w:hAnsi="宋体" w:eastAsia="宋体" w:cs="宋体"/>
          <w:b/>
          <w:bCs/>
          <w:sz w:val="44"/>
          <w:szCs w:val="44"/>
        </w:rPr>
      </w:pPr>
    </w:p>
    <w:p w14:paraId="14506AF3">
      <w:pPr>
        <w:spacing w:line="360" w:lineRule="auto"/>
        <w:jc w:val="center"/>
        <w:rPr>
          <w:rFonts w:hint="eastAsia" w:ascii="宋体" w:hAnsi="宋体" w:eastAsia="宋体" w:cs="宋体"/>
          <w:b/>
          <w:bCs/>
          <w:color w:val="auto"/>
          <w:sz w:val="32"/>
          <w:szCs w:val="32"/>
        </w:rPr>
      </w:pPr>
    </w:p>
    <w:p w14:paraId="1F581E16">
      <w:pPr>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lang w:eastAsia="zh-CN"/>
        </w:rPr>
        <w:t>仁化县人民法院双源双视角安检机采购项目</w:t>
      </w:r>
      <w:r>
        <w:rPr>
          <w:rFonts w:hint="eastAsia" w:ascii="宋体" w:hAnsi="宋体" w:eastAsia="宋体" w:cs="宋体"/>
          <w:b/>
          <w:bCs/>
          <w:sz w:val="32"/>
          <w:szCs w:val="32"/>
        </w:rPr>
        <w:t>采购需求</w:t>
      </w:r>
    </w:p>
    <w:p w14:paraId="1194F895">
      <w:pPr>
        <w:pStyle w:val="6"/>
        <w:rPr>
          <w:rFonts w:hint="eastAsia" w:ascii="宋体" w:hAnsi="宋体" w:eastAsia="宋体" w:cs="宋体"/>
        </w:rPr>
      </w:pPr>
    </w:p>
    <w:p w14:paraId="0611277B">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一、采购项目需求一览表</w:t>
      </w:r>
    </w:p>
    <w:tbl>
      <w:tblPr>
        <w:tblStyle w:val="11"/>
        <w:tblW w:w="4998" w:type="pct"/>
        <w:jc w:val="center"/>
        <w:tblLayout w:type="autofit"/>
        <w:tblCellMar>
          <w:top w:w="0" w:type="dxa"/>
          <w:left w:w="0" w:type="dxa"/>
          <w:bottom w:w="0" w:type="dxa"/>
          <w:right w:w="0" w:type="dxa"/>
        </w:tblCellMar>
      </w:tblPr>
      <w:tblGrid>
        <w:gridCol w:w="991"/>
        <w:gridCol w:w="3065"/>
        <w:gridCol w:w="1268"/>
        <w:gridCol w:w="2861"/>
        <w:gridCol w:w="2307"/>
      </w:tblGrid>
      <w:tr w14:paraId="007577B8">
        <w:tblPrEx>
          <w:tblCellMar>
            <w:top w:w="0" w:type="dxa"/>
            <w:left w:w="0" w:type="dxa"/>
            <w:bottom w:w="0" w:type="dxa"/>
            <w:right w:w="0" w:type="dxa"/>
          </w:tblCellMar>
        </w:tblPrEx>
        <w:trPr>
          <w:trHeight w:val="788" w:hRule="atLeast"/>
          <w:jc w:val="center"/>
        </w:trPr>
        <w:tc>
          <w:tcPr>
            <w:tcW w:w="47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6AAB229">
            <w:pPr>
              <w:widowControl/>
              <w:spacing w:line="360" w:lineRule="auto"/>
              <w:jc w:val="center"/>
              <w:textAlignment w:val="center"/>
              <w:rPr>
                <w:rFonts w:hint="eastAsia" w:ascii="宋体" w:hAnsi="宋体" w:eastAsia="宋体" w:cs="宋体"/>
                <w:sz w:val="21"/>
                <w:szCs w:val="21"/>
              </w:rPr>
            </w:pPr>
            <w:r>
              <w:rPr>
                <w:rFonts w:hint="eastAsia" w:ascii="宋体" w:hAnsi="宋体" w:eastAsia="宋体" w:cs="宋体"/>
                <w:kern w:val="0"/>
                <w:sz w:val="21"/>
                <w:szCs w:val="21"/>
                <w:lang w:bidi="ar"/>
              </w:rPr>
              <w:t>序号</w:t>
            </w:r>
          </w:p>
        </w:tc>
        <w:tc>
          <w:tcPr>
            <w:tcW w:w="146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11C93F2E">
            <w:pPr>
              <w:widowControl/>
              <w:spacing w:line="360" w:lineRule="auto"/>
              <w:jc w:val="center"/>
              <w:textAlignment w:val="center"/>
              <w:rPr>
                <w:rFonts w:hint="eastAsia" w:ascii="宋体" w:hAnsi="宋体" w:eastAsia="宋体" w:cs="宋体"/>
                <w:sz w:val="21"/>
                <w:szCs w:val="21"/>
              </w:rPr>
            </w:pPr>
            <w:r>
              <w:rPr>
                <w:rFonts w:hint="eastAsia" w:ascii="宋体" w:hAnsi="宋体" w:eastAsia="宋体" w:cs="宋体"/>
                <w:kern w:val="0"/>
                <w:sz w:val="21"/>
                <w:szCs w:val="21"/>
                <w:lang w:bidi="ar"/>
              </w:rPr>
              <w:t>采购内容</w:t>
            </w:r>
          </w:p>
        </w:tc>
        <w:tc>
          <w:tcPr>
            <w:tcW w:w="60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15034F6">
            <w:pPr>
              <w:widowControl/>
              <w:spacing w:line="360" w:lineRule="auto"/>
              <w:jc w:val="center"/>
              <w:textAlignment w:val="center"/>
              <w:rPr>
                <w:rFonts w:hint="eastAsia" w:ascii="宋体" w:hAnsi="宋体" w:eastAsia="宋体" w:cs="宋体"/>
                <w:sz w:val="21"/>
                <w:szCs w:val="21"/>
              </w:rPr>
            </w:pPr>
            <w:r>
              <w:rPr>
                <w:rFonts w:hint="eastAsia" w:ascii="宋体" w:hAnsi="宋体" w:eastAsia="宋体" w:cs="宋体"/>
                <w:sz w:val="21"/>
                <w:szCs w:val="21"/>
              </w:rPr>
              <w:t>数量</w:t>
            </w:r>
          </w:p>
        </w:tc>
        <w:tc>
          <w:tcPr>
            <w:tcW w:w="136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2A059A6">
            <w:pPr>
              <w:widowControl/>
              <w:spacing w:line="360" w:lineRule="auto"/>
              <w:jc w:val="center"/>
              <w:textAlignment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交货期</w:t>
            </w:r>
          </w:p>
        </w:tc>
        <w:tc>
          <w:tcPr>
            <w:tcW w:w="109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48E988B3">
            <w:pPr>
              <w:widowControl/>
              <w:spacing w:line="360" w:lineRule="auto"/>
              <w:jc w:val="center"/>
              <w:textAlignment w:val="center"/>
              <w:rPr>
                <w:rFonts w:hint="eastAsia" w:ascii="宋体" w:hAnsi="宋体" w:eastAsia="宋体" w:cs="宋体"/>
                <w:sz w:val="21"/>
                <w:szCs w:val="21"/>
              </w:rPr>
            </w:pPr>
            <w:r>
              <w:rPr>
                <w:rFonts w:hint="eastAsia" w:ascii="宋体" w:hAnsi="宋体" w:eastAsia="宋体" w:cs="宋体"/>
                <w:sz w:val="21"/>
                <w:szCs w:val="21"/>
              </w:rPr>
              <w:t>预算金额</w:t>
            </w:r>
          </w:p>
        </w:tc>
      </w:tr>
      <w:tr w14:paraId="00F5A3E3">
        <w:tblPrEx>
          <w:tblCellMar>
            <w:top w:w="0" w:type="dxa"/>
            <w:left w:w="0" w:type="dxa"/>
            <w:bottom w:w="0" w:type="dxa"/>
            <w:right w:w="0" w:type="dxa"/>
          </w:tblCellMar>
        </w:tblPrEx>
        <w:trPr>
          <w:trHeight w:val="1380" w:hRule="atLeast"/>
          <w:jc w:val="center"/>
        </w:trPr>
        <w:tc>
          <w:tcPr>
            <w:tcW w:w="47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7EB3AF5D">
            <w:pPr>
              <w:spacing w:line="360" w:lineRule="auto"/>
              <w:jc w:val="center"/>
              <w:rPr>
                <w:rFonts w:hint="eastAsia" w:ascii="宋体" w:hAnsi="宋体" w:eastAsia="宋体" w:cs="宋体"/>
                <w:sz w:val="21"/>
                <w:szCs w:val="21"/>
              </w:rPr>
            </w:pPr>
            <w:r>
              <w:rPr>
                <w:rFonts w:hint="eastAsia" w:ascii="宋体" w:hAnsi="宋体" w:eastAsia="宋体" w:cs="宋体"/>
                <w:sz w:val="21"/>
                <w:szCs w:val="21"/>
              </w:rPr>
              <w:t>1</w:t>
            </w:r>
          </w:p>
        </w:tc>
        <w:tc>
          <w:tcPr>
            <w:tcW w:w="146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7FE21D2">
            <w:pPr>
              <w:spacing w:line="360" w:lineRule="auto"/>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仁化县人民法院双源双视角安检机采购项目</w:t>
            </w:r>
          </w:p>
        </w:tc>
        <w:tc>
          <w:tcPr>
            <w:tcW w:w="60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812035C">
            <w:pPr>
              <w:spacing w:line="360" w:lineRule="auto"/>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1批</w:t>
            </w:r>
          </w:p>
        </w:tc>
        <w:tc>
          <w:tcPr>
            <w:tcW w:w="136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51CA8AA">
            <w:pPr>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合同签订后30日内完成供货、安装、调试并交付验收</w:t>
            </w:r>
          </w:p>
        </w:tc>
        <w:tc>
          <w:tcPr>
            <w:tcW w:w="109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CF36A49">
            <w:pPr>
              <w:pStyle w:val="16"/>
              <w:spacing w:line="360" w:lineRule="auto"/>
              <w:ind w:firstLine="0"/>
              <w:jc w:val="center"/>
              <w:rPr>
                <w:rFonts w:hint="eastAsia" w:ascii="宋体" w:hAnsi="宋体" w:eastAsia="宋体" w:cs="宋体"/>
                <w:sz w:val="21"/>
                <w:szCs w:val="21"/>
                <w:lang w:eastAsia="zh-CN"/>
              </w:rPr>
            </w:pPr>
            <w:r>
              <w:rPr>
                <w:rFonts w:hint="eastAsia" w:ascii="宋体" w:hAnsi="宋体" w:eastAsia="宋体" w:cs="宋体"/>
                <w:color w:val="000000"/>
                <w:sz w:val="21"/>
                <w:szCs w:val="21"/>
              </w:rPr>
              <w:t>¥</w:t>
            </w:r>
            <w:r>
              <w:rPr>
                <w:rFonts w:hint="eastAsia" w:ascii="宋体" w:hAnsi="宋体" w:eastAsia="宋体" w:cs="宋体"/>
                <w:color w:val="000000"/>
                <w:sz w:val="21"/>
                <w:szCs w:val="21"/>
                <w:lang w:eastAsia="zh-CN"/>
              </w:rPr>
              <w:t>192,000.00</w:t>
            </w:r>
          </w:p>
        </w:tc>
      </w:tr>
    </w:tbl>
    <w:p w14:paraId="3E1F8E3B">
      <w:pPr>
        <w:numPr>
          <w:ilvl w:val="0"/>
          <w:numId w:val="1"/>
        </w:numPr>
        <w:spacing w:line="360" w:lineRule="auto"/>
        <w:rPr>
          <w:rFonts w:hint="eastAsia" w:ascii="宋体" w:hAnsi="宋体" w:eastAsia="宋体" w:cs="宋体"/>
          <w:b/>
          <w:bCs/>
          <w:sz w:val="21"/>
          <w:szCs w:val="21"/>
        </w:rPr>
      </w:pPr>
      <w:r>
        <w:rPr>
          <w:rFonts w:hint="eastAsia" w:ascii="宋体" w:hAnsi="宋体" w:eastAsia="宋体" w:cs="宋体"/>
          <w:b/>
          <w:bCs/>
          <w:sz w:val="21"/>
          <w:szCs w:val="21"/>
        </w:rPr>
        <w:t>报价要求</w:t>
      </w:r>
    </w:p>
    <w:p w14:paraId="59DA51D1">
      <w:pPr>
        <w:pStyle w:val="16"/>
        <w:numPr>
          <w:ilvl w:val="0"/>
          <w:numId w:val="2"/>
        </w:numPr>
        <w:spacing w:line="360" w:lineRule="auto"/>
        <w:rPr>
          <w:rFonts w:hint="eastAsia" w:ascii="宋体" w:hAnsi="宋体" w:eastAsia="宋体" w:cs="宋体"/>
          <w:sz w:val="21"/>
          <w:szCs w:val="21"/>
        </w:rPr>
      </w:pPr>
      <w:r>
        <w:rPr>
          <w:rFonts w:hint="eastAsia" w:ascii="宋体" w:hAnsi="宋体" w:eastAsia="宋体" w:cs="宋体"/>
          <w:sz w:val="21"/>
          <w:szCs w:val="21"/>
        </w:rPr>
        <w:t>供应商报价不得高于文件规定的预算金额，否则将导致响应无效处理。</w:t>
      </w:r>
    </w:p>
    <w:p w14:paraId="74E0036C">
      <w:pPr>
        <w:pStyle w:val="16"/>
        <w:numPr>
          <w:ilvl w:val="0"/>
          <w:numId w:val="2"/>
        </w:numPr>
        <w:spacing w:line="360" w:lineRule="auto"/>
        <w:rPr>
          <w:rFonts w:hint="eastAsia" w:ascii="宋体" w:hAnsi="宋体" w:eastAsia="宋体" w:cs="宋体"/>
          <w:sz w:val="21"/>
          <w:szCs w:val="21"/>
        </w:rPr>
      </w:pPr>
      <w:r>
        <w:rPr>
          <w:rStyle w:val="21"/>
          <w:rFonts w:hint="eastAsia" w:ascii="宋体" w:hAnsi="宋体" w:eastAsia="宋体" w:cs="宋体"/>
          <w:sz w:val="21"/>
          <w:szCs w:val="21"/>
        </w:rPr>
        <w:t>报价应为人民币含税全包价，包括但不限于项目实施过程的供货方测试、制造、包装、运输、安装调试、装卸、验收、质保期服务、各项税费及合同实施过程中不可预见费用等全部费用。在项目的实施过程中，供应商必须充分考虑在本项目实施期间的一切可能产生的风险和相关费用，采购人将拒绝支付合同约定之外的任何费用和补偿。</w:t>
      </w:r>
    </w:p>
    <w:p w14:paraId="7A308872">
      <w:pPr>
        <w:numPr>
          <w:ilvl w:val="0"/>
          <w:numId w:val="1"/>
        </w:numPr>
        <w:spacing w:line="360" w:lineRule="auto"/>
        <w:rPr>
          <w:rFonts w:hint="eastAsia" w:ascii="宋体" w:hAnsi="宋体" w:eastAsia="宋体" w:cs="宋体"/>
          <w:b/>
          <w:sz w:val="21"/>
          <w:szCs w:val="21"/>
        </w:rPr>
      </w:pPr>
      <w:r>
        <w:rPr>
          <w:rFonts w:hint="eastAsia" w:ascii="宋体" w:hAnsi="宋体" w:eastAsia="宋体" w:cs="宋体"/>
          <w:b/>
          <w:sz w:val="21"/>
          <w:szCs w:val="21"/>
        </w:rPr>
        <w:t>采购标的清单、技术规格及参数</w:t>
      </w:r>
    </w:p>
    <w:tbl>
      <w:tblPr>
        <w:tblStyle w:val="1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1"/>
        <w:gridCol w:w="1194"/>
        <w:gridCol w:w="7481"/>
        <w:gridCol w:w="560"/>
        <w:gridCol w:w="862"/>
      </w:tblGrid>
      <w:tr w14:paraId="70E7C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2" w:type="pct"/>
            <w:noWrap w:val="0"/>
            <w:vAlign w:val="center"/>
          </w:tcPr>
          <w:p w14:paraId="09D7A2C6">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序号</w:t>
            </w:r>
          </w:p>
        </w:tc>
        <w:tc>
          <w:tcPr>
            <w:tcW w:w="559" w:type="pct"/>
            <w:noWrap w:val="0"/>
            <w:vAlign w:val="center"/>
          </w:tcPr>
          <w:p w14:paraId="5BA12F86">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产品名称</w:t>
            </w:r>
          </w:p>
        </w:tc>
        <w:tc>
          <w:tcPr>
            <w:tcW w:w="3501" w:type="pct"/>
            <w:noWrap w:val="0"/>
            <w:vAlign w:val="center"/>
          </w:tcPr>
          <w:p w14:paraId="4F453B55">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产品技术参数</w:t>
            </w:r>
          </w:p>
        </w:tc>
        <w:tc>
          <w:tcPr>
            <w:tcW w:w="262" w:type="pct"/>
            <w:noWrap w:val="0"/>
            <w:vAlign w:val="center"/>
          </w:tcPr>
          <w:p w14:paraId="5F62FB0D">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数量</w:t>
            </w:r>
          </w:p>
        </w:tc>
        <w:tc>
          <w:tcPr>
            <w:tcW w:w="403" w:type="pct"/>
            <w:noWrap w:val="0"/>
            <w:vAlign w:val="center"/>
          </w:tcPr>
          <w:p w14:paraId="628074E3">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单位</w:t>
            </w:r>
          </w:p>
        </w:tc>
      </w:tr>
      <w:tr w14:paraId="69BEA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2" w:type="pct"/>
            <w:noWrap w:val="0"/>
            <w:vAlign w:val="center"/>
          </w:tcPr>
          <w:p w14:paraId="0739A2A3">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1</w:t>
            </w:r>
          </w:p>
        </w:tc>
        <w:tc>
          <w:tcPr>
            <w:tcW w:w="559" w:type="pct"/>
            <w:noWrap w:val="0"/>
            <w:vAlign w:val="center"/>
          </w:tcPr>
          <w:p w14:paraId="36E2E1FA">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双源双视角安检机</w:t>
            </w:r>
          </w:p>
        </w:tc>
        <w:tc>
          <w:tcPr>
            <w:tcW w:w="3501" w:type="pct"/>
            <w:noWrap w:val="0"/>
            <w:vAlign w:val="center"/>
          </w:tcPr>
          <w:p w14:paraId="1A7FD8FA">
            <w:pPr>
              <w:spacing w:line="360" w:lineRule="auto"/>
              <w:jc w:val="left"/>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rPr>
              <w:t>1、通道尺寸：≥650×500mm（W×H）</w:t>
            </w:r>
            <w:r>
              <w:rPr>
                <w:rFonts w:hint="eastAsia" w:ascii="宋体" w:hAnsi="宋体" w:eastAsia="宋体" w:cs="宋体"/>
                <w:bCs/>
                <w:color w:val="auto"/>
                <w:sz w:val="21"/>
                <w:szCs w:val="21"/>
                <w:lang w:eastAsia="zh-CN"/>
              </w:rPr>
              <w:t>；</w:t>
            </w:r>
          </w:p>
          <w:p w14:paraId="4C2436A1">
            <w:pPr>
              <w:spacing w:line="360" w:lineRule="auto"/>
              <w:jc w:val="left"/>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rPr>
              <w:t>2、穿透力：底视角≥38mm钢板；侧视角≥38mm钢板</w:t>
            </w:r>
            <w:r>
              <w:rPr>
                <w:rFonts w:hint="eastAsia" w:ascii="宋体" w:hAnsi="宋体" w:eastAsia="宋体" w:cs="宋体"/>
                <w:bCs/>
                <w:color w:val="auto"/>
                <w:sz w:val="21"/>
                <w:szCs w:val="21"/>
                <w:lang w:eastAsia="zh-CN"/>
              </w:rPr>
              <w:t>；</w:t>
            </w:r>
          </w:p>
          <w:p w14:paraId="7BA6303D">
            <w:pPr>
              <w:spacing w:line="360" w:lineRule="auto"/>
              <w:jc w:val="left"/>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rPr>
              <w:t>3、穿透分辨力：底视角≤0.127mm；侧视角≤0.127mm</w:t>
            </w:r>
            <w:r>
              <w:rPr>
                <w:rFonts w:hint="eastAsia" w:ascii="宋体" w:hAnsi="宋体" w:eastAsia="宋体" w:cs="宋体"/>
                <w:bCs/>
                <w:color w:val="auto"/>
                <w:sz w:val="21"/>
                <w:szCs w:val="21"/>
                <w:lang w:eastAsia="zh-CN"/>
              </w:rPr>
              <w:t>；</w:t>
            </w:r>
          </w:p>
          <w:p w14:paraId="16522E92">
            <w:pPr>
              <w:spacing w:line="360" w:lineRule="auto"/>
              <w:jc w:val="left"/>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4、X射线源数量2个</w:t>
            </w:r>
            <w:r>
              <w:rPr>
                <w:rFonts w:hint="eastAsia" w:ascii="宋体" w:hAnsi="宋体" w:eastAsia="宋体" w:cs="宋体"/>
                <w:bCs/>
                <w:color w:val="auto"/>
                <w:sz w:val="21"/>
                <w:szCs w:val="21"/>
                <w:lang w:eastAsia="zh-CN"/>
              </w:rPr>
              <w:t>；</w:t>
            </w:r>
          </w:p>
          <w:p w14:paraId="328F5B98">
            <w:pPr>
              <w:spacing w:line="360" w:lineRule="auto"/>
              <w:jc w:val="left"/>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rPr>
              <w:t>5、X射线投照方向：垂直视角为底视角，水平视角为侧视角</w:t>
            </w:r>
            <w:r>
              <w:rPr>
                <w:rFonts w:hint="eastAsia" w:ascii="宋体" w:hAnsi="宋体" w:eastAsia="宋体" w:cs="宋体"/>
                <w:bCs/>
                <w:color w:val="auto"/>
                <w:sz w:val="21"/>
                <w:szCs w:val="21"/>
                <w:lang w:eastAsia="zh-CN"/>
              </w:rPr>
              <w:t>；</w:t>
            </w:r>
          </w:p>
          <w:p w14:paraId="219912EB">
            <w:pPr>
              <w:spacing w:line="360" w:lineRule="auto"/>
              <w:jc w:val="left"/>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rPr>
              <w:t>6、周围剂量当量率：封闭式设备，周围剂量当量率应≤0.5μSv/h；工作人员位置的周围剂量当量率≤0.05μSv/h</w:t>
            </w:r>
            <w:r>
              <w:rPr>
                <w:rFonts w:hint="eastAsia" w:ascii="宋体" w:hAnsi="宋体" w:eastAsia="宋体" w:cs="宋体"/>
                <w:bCs/>
                <w:color w:val="auto"/>
                <w:sz w:val="21"/>
                <w:szCs w:val="21"/>
                <w:lang w:eastAsia="zh-CN"/>
              </w:rPr>
              <w:t>；</w:t>
            </w:r>
          </w:p>
          <w:p w14:paraId="4320316D">
            <w:pPr>
              <w:spacing w:line="360" w:lineRule="auto"/>
              <w:jc w:val="left"/>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rPr>
              <w:t>7、单次检查剂量：单次检查剂量应≤5μGy</w:t>
            </w:r>
            <w:r>
              <w:rPr>
                <w:rFonts w:hint="eastAsia" w:ascii="宋体" w:hAnsi="宋体" w:eastAsia="宋体" w:cs="宋体"/>
                <w:bCs/>
                <w:color w:val="auto"/>
                <w:sz w:val="21"/>
                <w:szCs w:val="21"/>
                <w:lang w:eastAsia="zh-CN"/>
              </w:rPr>
              <w:t>；</w:t>
            </w:r>
          </w:p>
          <w:p w14:paraId="0729E572">
            <w:pPr>
              <w:spacing w:line="360" w:lineRule="auto"/>
              <w:jc w:val="left"/>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rPr>
              <w:t>8、主机噪音：≤58dB(A)</w:t>
            </w:r>
            <w:r>
              <w:rPr>
                <w:rFonts w:hint="eastAsia" w:ascii="宋体" w:hAnsi="宋体" w:eastAsia="宋体" w:cs="宋体"/>
                <w:bCs/>
                <w:color w:val="auto"/>
                <w:sz w:val="21"/>
                <w:szCs w:val="21"/>
                <w:lang w:eastAsia="zh-CN"/>
              </w:rPr>
              <w:t>；</w:t>
            </w:r>
          </w:p>
          <w:p w14:paraId="018FD96E">
            <w:pPr>
              <w:spacing w:line="360" w:lineRule="auto"/>
              <w:jc w:val="left"/>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rPr>
              <w:t>9、输送速度调整功能：设备应能在0.2m/s（含以下）～0.5m/s（含以上）之间进行切换</w:t>
            </w:r>
            <w:r>
              <w:rPr>
                <w:rFonts w:hint="eastAsia" w:ascii="宋体" w:hAnsi="宋体" w:eastAsia="宋体" w:cs="宋体"/>
                <w:bCs/>
                <w:color w:val="auto"/>
                <w:sz w:val="21"/>
                <w:szCs w:val="21"/>
                <w:lang w:eastAsia="zh-CN"/>
              </w:rPr>
              <w:t>；</w:t>
            </w:r>
          </w:p>
          <w:p w14:paraId="321150F1">
            <w:pPr>
              <w:spacing w:line="360" w:lineRule="auto"/>
              <w:jc w:val="left"/>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rPr>
              <w:t>10、设备应具备智能识别功能，当检测到疑似枪支、液体等违禁危险物品可自动识别</w:t>
            </w:r>
            <w:r>
              <w:rPr>
                <w:rFonts w:hint="eastAsia" w:ascii="宋体" w:hAnsi="宋体" w:eastAsia="宋体" w:cs="宋体"/>
                <w:bCs/>
                <w:color w:val="auto"/>
                <w:sz w:val="21"/>
                <w:szCs w:val="21"/>
                <w:lang w:eastAsia="zh-CN"/>
              </w:rPr>
              <w:t>；</w:t>
            </w:r>
          </w:p>
          <w:p w14:paraId="002E19F5">
            <w:pPr>
              <w:spacing w:line="360" w:lineRule="auto"/>
              <w:jc w:val="left"/>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rPr>
              <w:t>11、系统应支持能在备检物品物品上实施标记并提示违禁物品识别结果</w:t>
            </w:r>
            <w:r>
              <w:rPr>
                <w:rFonts w:hint="eastAsia" w:ascii="宋体" w:hAnsi="宋体" w:eastAsia="宋体" w:cs="宋体"/>
                <w:bCs/>
                <w:color w:val="auto"/>
                <w:sz w:val="21"/>
                <w:szCs w:val="21"/>
                <w:lang w:eastAsia="zh-CN"/>
              </w:rPr>
              <w:t>；</w:t>
            </w:r>
          </w:p>
          <w:p w14:paraId="55BC2EF2">
            <w:pPr>
              <w:spacing w:line="360" w:lineRule="auto"/>
              <w:jc w:val="left"/>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rPr>
              <w:t>12、超薄物检测功能：设备开启强制扫描模式后，能对超薄物品扫描并成像</w:t>
            </w:r>
            <w:r>
              <w:rPr>
                <w:rFonts w:hint="eastAsia" w:ascii="宋体" w:hAnsi="宋体" w:eastAsia="宋体" w:cs="宋体"/>
                <w:bCs/>
                <w:color w:val="auto"/>
                <w:sz w:val="21"/>
                <w:szCs w:val="21"/>
                <w:lang w:eastAsia="zh-CN"/>
              </w:rPr>
              <w:t>；</w:t>
            </w:r>
          </w:p>
          <w:p w14:paraId="010C1A12">
            <w:pPr>
              <w:spacing w:line="360" w:lineRule="auto"/>
              <w:jc w:val="left"/>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rPr>
              <w:t>13、节能环保：检测到包裹放置传送带上后，传送装置自动启动；当设定时间未放置被测物时，传送装置可自动停止运行</w:t>
            </w:r>
            <w:r>
              <w:rPr>
                <w:rFonts w:hint="eastAsia" w:ascii="宋体" w:hAnsi="宋体" w:eastAsia="宋体" w:cs="宋体"/>
                <w:bCs/>
                <w:color w:val="auto"/>
                <w:sz w:val="21"/>
                <w:szCs w:val="21"/>
                <w:lang w:eastAsia="zh-CN"/>
              </w:rPr>
              <w:t>；</w:t>
            </w:r>
          </w:p>
          <w:p w14:paraId="46C36496">
            <w:pPr>
              <w:spacing w:line="360" w:lineRule="auto"/>
              <w:jc w:val="left"/>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rPr>
              <w:t>14、图像放大：图像放大显示所选中区域的物体图像，最大可放大64倍以上</w:t>
            </w:r>
            <w:r>
              <w:rPr>
                <w:rFonts w:hint="eastAsia" w:ascii="宋体" w:hAnsi="宋体" w:eastAsia="宋体" w:cs="宋体"/>
                <w:bCs/>
                <w:color w:val="auto"/>
                <w:sz w:val="21"/>
                <w:szCs w:val="21"/>
                <w:lang w:eastAsia="zh-CN"/>
              </w:rPr>
              <w:t>；</w:t>
            </w:r>
          </w:p>
          <w:p w14:paraId="1A2682D1">
            <w:pPr>
              <w:spacing w:line="360" w:lineRule="auto"/>
              <w:jc w:val="left"/>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rPr>
              <w:t>15、设备应自动保存全部被检物品扫描图像，至少10000幅被检图像</w:t>
            </w:r>
            <w:r>
              <w:rPr>
                <w:rFonts w:hint="eastAsia" w:ascii="宋体" w:hAnsi="宋体" w:eastAsia="宋体" w:cs="宋体"/>
                <w:bCs/>
                <w:color w:val="auto"/>
                <w:sz w:val="21"/>
                <w:szCs w:val="21"/>
                <w:lang w:eastAsia="zh-CN"/>
              </w:rPr>
              <w:t>；</w:t>
            </w:r>
          </w:p>
          <w:p w14:paraId="1D49146D">
            <w:pPr>
              <w:spacing w:line="360" w:lineRule="auto"/>
              <w:jc w:val="left"/>
              <w:rPr>
                <w:rFonts w:hint="eastAsia" w:ascii="宋体" w:hAnsi="宋体" w:eastAsia="宋体" w:cs="宋体"/>
                <w:bCs/>
                <w:color w:val="auto"/>
                <w:sz w:val="21"/>
                <w:szCs w:val="21"/>
              </w:rPr>
            </w:pPr>
            <w:r>
              <w:rPr>
                <w:rFonts w:hint="eastAsia" w:ascii="宋体" w:hAnsi="宋体" w:eastAsia="宋体" w:cs="宋体"/>
                <w:bCs/>
                <w:color w:val="auto"/>
                <w:sz w:val="21"/>
                <w:szCs w:val="21"/>
              </w:rPr>
              <w:t>16、一键关机功能：设备可通过钥匙或开关的方式实现一键关机操作，关闭所有电源。</w:t>
            </w:r>
          </w:p>
        </w:tc>
        <w:tc>
          <w:tcPr>
            <w:tcW w:w="262" w:type="pct"/>
            <w:noWrap w:val="0"/>
            <w:vAlign w:val="center"/>
          </w:tcPr>
          <w:p w14:paraId="02C2BEC6">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1</w:t>
            </w:r>
          </w:p>
        </w:tc>
        <w:tc>
          <w:tcPr>
            <w:tcW w:w="403" w:type="pct"/>
            <w:noWrap w:val="0"/>
            <w:vAlign w:val="center"/>
          </w:tcPr>
          <w:p w14:paraId="5209888E">
            <w:pPr>
              <w:spacing w:line="360" w:lineRule="auto"/>
              <w:jc w:val="center"/>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lang w:val="en-US" w:eastAsia="zh-CN"/>
              </w:rPr>
              <w:t>批</w:t>
            </w:r>
          </w:p>
        </w:tc>
      </w:tr>
    </w:tbl>
    <w:p w14:paraId="5488BC0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四、商务要求</w:t>
      </w:r>
    </w:p>
    <w:p w14:paraId="0AE785CB">
      <w:pPr>
        <w:pStyle w:val="18"/>
        <w:spacing w:line="360" w:lineRule="auto"/>
        <w:ind w:firstLineChars="200"/>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（一）</w:t>
      </w:r>
      <w:r>
        <w:rPr>
          <w:rFonts w:hint="eastAsia" w:ascii="宋体" w:hAnsi="宋体" w:eastAsia="宋体" w:cs="宋体"/>
          <w:color w:val="000000"/>
          <w:kern w:val="2"/>
          <w:sz w:val="21"/>
          <w:szCs w:val="21"/>
          <w:lang w:val="en-US" w:eastAsia="zh-CN"/>
        </w:rPr>
        <w:t>交货期</w:t>
      </w:r>
      <w:r>
        <w:rPr>
          <w:rFonts w:hint="eastAsia" w:ascii="宋体" w:hAnsi="宋体" w:eastAsia="宋体" w:cs="宋体"/>
          <w:color w:val="000000"/>
          <w:kern w:val="2"/>
          <w:sz w:val="21"/>
          <w:szCs w:val="21"/>
        </w:rPr>
        <w:t>：</w:t>
      </w:r>
      <w:r>
        <w:rPr>
          <w:rFonts w:hint="eastAsia" w:ascii="宋体" w:hAnsi="宋体" w:eastAsia="宋体" w:cs="宋体"/>
          <w:color w:val="000000"/>
          <w:sz w:val="21"/>
          <w:szCs w:val="21"/>
        </w:rPr>
        <w:t>合同签订后30日内完成供货、安装、调试并交付验收。</w:t>
      </w:r>
    </w:p>
    <w:p w14:paraId="7D4A8B5C">
      <w:pPr>
        <w:pStyle w:val="18"/>
        <w:spacing w:line="360" w:lineRule="auto"/>
        <w:ind w:firstLineChars="200"/>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（二）交付地点：</w:t>
      </w:r>
      <w:bookmarkStart w:id="0" w:name="_Toc25791"/>
      <w:bookmarkStart w:id="1" w:name="_Toc28873"/>
      <w:bookmarkStart w:id="2" w:name="_Toc32156"/>
      <w:r>
        <w:rPr>
          <w:rFonts w:hint="eastAsia" w:ascii="宋体" w:hAnsi="宋体" w:eastAsia="宋体" w:cs="宋体"/>
          <w:color w:val="000000"/>
          <w:kern w:val="2"/>
          <w:sz w:val="21"/>
          <w:szCs w:val="21"/>
        </w:rPr>
        <w:t>采购人指定地点</w:t>
      </w:r>
    </w:p>
    <w:p w14:paraId="6994760D">
      <w:pPr>
        <w:pStyle w:val="18"/>
        <w:spacing w:line="360" w:lineRule="auto"/>
        <w:ind w:firstLineChars="200"/>
        <w:rPr>
          <w:rFonts w:hint="eastAsia" w:ascii="宋体" w:hAnsi="宋体" w:eastAsia="宋体" w:cs="宋体"/>
          <w:sz w:val="21"/>
          <w:szCs w:val="21"/>
        </w:rPr>
      </w:pPr>
      <w:r>
        <w:rPr>
          <w:rFonts w:hint="eastAsia" w:ascii="宋体" w:hAnsi="宋体" w:eastAsia="宋体" w:cs="宋体"/>
          <w:sz w:val="21"/>
          <w:szCs w:val="21"/>
        </w:rPr>
        <w:t>（三）</w:t>
      </w:r>
      <w:bookmarkEnd w:id="0"/>
      <w:bookmarkEnd w:id="1"/>
      <w:bookmarkEnd w:id="2"/>
      <w:r>
        <w:rPr>
          <w:rFonts w:hint="eastAsia" w:ascii="宋体" w:hAnsi="宋体" w:eastAsia="宋体" w:cs="宋体"/>
          <w:sz w:val="21"/>
          <w:szCs w:val="21"/>
        </w:rPr>
        <w:t>供货要求：</w:t>
      </w:r>
    </w:p>
    <w:p w14:paraId="6634E026">
      <w:pPr>
        <w:pStyle w:val="16"/>
        <w:numPr>
          <w:ilvl w:val="0"/>
          <w:numId w:val="3"/>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货物为原制造商制造的全新产品，整机无污染，无侵权行为、表面无划损、无任何缺陷隐患，在中国境内可依常规安全合法使用；</w:t>
      </w:r>
    </w:p>
    <w:p w14:paraId="59E54813">
      <w:pPr>
        <w:pStyle w:val="16"/>
        <w:numPr>
          <w:ilvl w:val="0"/>
          <w:numId w:val="3"/>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货物为原厂商未启封全新包装，具出厂合格证，序列号、包装箱号与出厂批号一致，并可追索查阅。所有设备的附件必须齐全；</w:t>
      </w:r>
    </w:p>
    <w:p w14:paraId="577116BB">
      <w:pPr>
        <w:pStyle w:val="16"/>
        <w:numPr>
          <w:ilvl w:val="0"/>
          <w:numId w:val="3"/>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有关键主机设备的用户手册、保修手册、有关单证资料及配备件、随机工具等，使用操作及安全须知等重要资料应附有中文说明。</w:t>
      </w:r>
    </w:p>
    <w:p w14:paraId="36298197">
      <w:pPr>
        <w:pStyle w:val="16"/>
        <w:numPr>
          <w:ilvl w:val="0"/>
          <w:numId w:val="3"/>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所供货物应符合采购文件中所述的标准。</w:t>
      </w:r>
    </w:p>
    <w:p w14:paraId="32341D4D">
      <w:pPr>
        <w:pStyle w:val="16"/>
        <w:numPr>
          <w:ilvl w:val="0"/>
          <w:numId w:val="3"/>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成交供应商负责将货物材料货到现场过程中的全部运输，包括装卸车、货物现场的搬运。</w:t>
      </w:r>
    </w:p>
    <w:p w14:paraId="0917F8AE">
      <w:pPr>
        <w:pStyle w:val="16"/>
        <w:numPr>
          <w:ilvl w:val="0"/>
          <w:numId w:val="3"/>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各种货物产品必须提供装箱清单，将按装箱清单验收货物。</w:t>
      </w:r>
    </w:p>
    <w:p w14:paraId="1ABDC56F">
      <w:pPr>
        <w:pStyle w:val="16"/>
        <w:numPr>
          <w:ilvl w:val="0"/>
          <w:numId w:val="3"/>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货物在现场的保管由成交供应商负责，直至项目安装、验收完毕。</w:t>
      </w:r>
    </w:p>
    <w:p w14:paraId="357BC731">
      <w:pPr>
        <w:pStyle w:val="16"/>
        <w:numPr>
          <w:ilvl w:val="0"/>
          <w:numId w:val="3"/>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设备至采购人指定的使用现场的包装、保险及发运等环节和费用均由成交供应商负责。</w:t>
      </w:r>
    </w:p>
    <w:p w14:paraId="34320D0F">
      <w:pPr>
        <w:pStyle w:val="16"/>
        <w:numPr>
          <w:ilvl w:val="0"/>
          <w:numId w:val="3"/>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必须依照采购文件的要求和响应文件的承诺，将设备、系统安装并调试至正常运行的最佳状态。</w:t>
      </w:r>
    </w:p>
    <w:p w14:paraId="7AEA29DA">
      <w:pPr>
        <w:pStyle w:val="18"/>
        <w:spacing w:line="360" w:lineRule="auto"/>
        <w:ind w:left="420" w:firstLine="0"/>
        <w:rPr>
          <w:rFonts w:hint="eastAsia" w:ascii="宋体" w:hAnsi="宋体" w:eastAsia="宋体" w:cs="宋体"/>
          <w:sz w:val="21"/>
          <w:szCs w:val="21"/>
        </w:rPr>
      </w:pPr>
      <w:bookmarkStart w:id="3" w:name="_Toc13181"/>
      <w:bookmarkStart w:id="4" w:name="_Toc9499"/>
      <w:bookmarkStart w:id="5" w:name="_Toc1420"/>
      <w:r>
        <w:rPr>
          <w:rFonts w:hint="eastAsia" w:ascii="宋体" w:hAnsi="宋体" w:eastAsia="宋体" w:cs="宋体"/>
          <w:sz w:val="21"/>
          <w:szCs w:val="21"/>
        </w:rPr>
        <w:t>（四）</w:t>
      </w:r>
      <w:bookmarkEnd w:id="3"/>
      <w:bookmarkEnd w:id="4"/>
      <w:bookmarkEnd w:id="5"/>
      <w:bookmarkStart w:id="6" w:name="_Toc19154"/>
      <w:r>
        <w:rPr>
          <w:rFonts w:hint="eastAsia" w:ascii="宋体" w:hAnsi="宋体" w:eastAsia="宋体" w:cs="宋体"/>
          <w:sz w:val="21"/>
          <w:szCs w:val="21"/>
        </w:rPr>
        <w:t>售后服务要求</w:t>
      </w:r>
      <w:bookmarkEnd w:id="6"/>
      <w:r>
        <w:rPr>
          <w:rFonts w:hint="eastAsia" w:ascii="宋体" w:hAnsi="宋体" w:eastAsia="宋体" w:cs="宋体"/>
          <w:sz w:val="21"/>
          <w:szCs w:val="21"/>
        </w:rPr>
        <w:t>：</w:t>
      </w:r>
      <w:bookmarkStart w:id="7" w:name="_Toc13225"/>
    </w:p>
    <w:p w14:paraId="2E34016F">
      <w:pPr>
        <w:pStyle w:val="16"/>
        <w:numPr>
          <w:ilvl w:val="0"/>
          <w:numId w:val="4"/>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成交供应商应按照国家有关法律、法规、规章和“三包”规定以及响应承诺提供售后服务。售后服务及保修条件不得低于国家和行业主管部门制定的有关标准。</w:t>
      </w:r>
    </w:p>
    <w:p w14:paraId="5C095762">
      <w:pPr>
        <w:pStyle w:val="16"/>
        <w:numPr>
          <w:ilvl w:val="0"/>
          <w:numId w:val="4"/>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 xml:space="preserve">所有耗材产品均需按生产厂商规定的保修期提供免费保修服务。 </w:t>
      </w:r>
    </w:p>
    <w:p w14:paraId="478D3AF1">
      <w:pPr>
        <w:pStyle w:val="16"/>
        <w:numPr>
          <w:ilvl w:val="0"/>
          <w:numId w:val="4"/>
        </w:numPr>
        <w:spacing w:line="360" w:lineRule="auto"/>
        <w:ind w:left="420" w:leftChars="200"/>
        <w:rPr>
          <w:rFonts w:hint="eastAsia" w:ascii="宋体" w:hAnsi="宋体" w:eastAsia="宋体" w:cs="宋体"/>
          <w:b/>
          <w:bCs/>
          <w:sz w:val="21"/>
          <w:szCs w:val="21"/>
        </w:rPr>
      </w:pPr>
      <w:r>
        <w:rPr>
          <w:rFonts w:hint="eastAsia" w:ascii="宋体" w:hAnsi="宋体" w:eastAsia="宋体" w:cs="宋体"/>
          <w:b/>
          <w:bCs/>
          <w:color w:val="auto"/>
          <w:kern w:val="0"/>
          <w:sz w:val="28"/>
          <w:szCs w:val="28"/>
        </w:rPr>
        <w:t>★</w:t>
      </w:r>
      <w:r>
        <w:rPr>
          <w:rFonts w:hint="eastAsia" w:ascii="宋体" w:hAnsi="宋体" w:eastAsia="宋体" w:cs="宋体"/>
          <w:b/>
          <w:bCs/>
          <w:sz w:val="21"/>
          <w:szCs w:val="21"/>
          <w:lang w:val="en-US" w:eastAsia="zh-CN"/>
        </w:rPr>
        <w:t>成交</w:t>
      </w:r>
      <w:r>
        <w:rPr>
          <w:rFonts w:hint="eastAsia" w:ascii="宋体" w:hAnsi="宋体" w:eastAsia="宋体" w:cs="宋体"/>
          <w:b/>
          <w:bCs/>
          <w:sz w:val="21"/>
          <w:szCs w:val="21"/>
        </w:rPr>
        <w:t>供应商需承诺质保为6年，质保期内免费提供上门服务、配件更换（除人为损坏）服务。质保期内招标人不承担相关费用。</w:t>
      </w:r>
      <w:r>
        <w:rPr>
          <w:rFonts w:hint="eastAsia" w:ascii="宋体" w:hAnsi="宋体" w:eastAsia="宋体" w:cs="宋体"/>
          <w:b/>
          <w:bCs/>
          <w:color w:val="auto"/>
          <w:spacing w:val="1"/>
          <w:kern w:val="2"/>
          <w:sz w:val="21"/>
          <w:szCs w:val="21"/>
          <w:highlight w:val="none"/>
          <w:lang w:val="en-US" w:eastAsia="zh-CN" w:bidi="ar-SA"/>
        </w:rPr>
        <w:t>（提供承诺函，格式自拟）</w:t>
      </w:r>
    </w:p>
    <w:p w14:paraId="15B0515D">
      <w:pPr>
        <w:pStyle w:val="16"/>
        <w:numPr>
          <w:ilvl w:val="0"/>
          <w:numId w:val="4"/>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质保期内，非采购人人为原因出现的产品质量问题及安装问题，由成交供应商负责包修、包换或包退，并承担因此产生的一切费用。</w:t>
      </w:r>
    </w:p>
    <w:p w14:paraId="49CCA9C4">
      <w:pPr>
        <w:pStyle w:val="16"/>
        <w:numPr>
          <w:ilvl w:val="0"/>
          <w:numId w:val="4"/>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成交供应商应提供全年365天，每周7*24小时的售后服务，成交供应商应配合采购人的工作安排，收到采购人报修电话后需15分钟内电话响应，报修后2小时内技术服务人员到达采购人故障设备所在地进行修复，技术服务人员不能在4小时内修复时，应马上安排其他技术服务人员上门维修，直至设备完全正常运行为止。</w:t>
      </w:r>
    </w:p>
    <w:p w14:paraId="01E816CE">
      <w:pPr>
        <w:pStyle w:val="16"/>
        <w:numPr>
          <w:ilvl w:val="0"/>
          <w:numId w:val="4"/>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特殊情况下，供应商应响应采购人的需求，安排驻场技术服务人员24小时现场待命。</w:t>
      </w:r>
    </w:p>
    <w:p w14:paraId="02DD2EA5">
      <w:pPr>
        <w:pStyle w:val="16"/>
        <w:numPr>
          <w:ilvl w:val="0"/>
          <w:numId w:val="4"/>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成交供应商提供以上基本服务的费用应己全部计入产品采购的报价中，成交供应商不得再向采购人收取任何费用。</w:t>
      </w:r>
    </w:p>
    <w:p w14:paraId="74B72CAA">
      <w:pPr>
        <w:pStyle w:val="16"/>
        <w:numPr>
          <w:ilvl w:val="0"/>
          <w:numId w:val="4"/>
        </w:numPr>
        <w:spacing w:line="360" w:lineRule="auto"/>
        <w:ind w:left="420" w:leftChars="200"/>
        <w:rPr>
          <w:rFonts w:hint="eastAsia" w:ascii="宋体" w:hAnsi="宋体" w:eastAsia="宋体" w:cs="宋体"/>
          <w:sz w:val="21"/>
          <w:szCs w:val="21"/>
        </w:rPr>
      </w:pPr>
      <w:r>
        <w:rPr>
          <w:rFonts w:hint="eastAsia" w:ascii="宋体" w:hAnsi="宋体" w:eastAsia="宋体" w:cs="宋体"/>
          <w:b/>
          <w:bCs/>
          <w:color w:val="auto"/>
          <w:kern w:val="0"/>
          <w:sz w:val="28"/>
          <w:szCs w:val="28"/>
        </w:rPr>
        <w:t>★</w:t>
      </w:r>
      <w:r>
        <w:rPr>
          <w:rFonts w:hint="eastAsia" w:ascii="宋体" w:hAnsi="宋体" w:eastAsia="宋体" w:cs="宋体"/>
          <w:b/>
          <w:bCs/>
          <w:sz w:val="21"/>
          <w:szCs w:val="21"/>
        </w:rPr>
        <w:t>若因</w:t>
      </w:r>
      <w:r>
        <w:rPr>
          <w:rFonts w:hint="eastAsia" w:ascii="宋体" w:hAnsi="宋体" w:eastAsia="宋体" w:cs="宋体"/>
          <w:b/>
          <w:bCs/>
          <w:sz w:val="21"/>
          <w:szCs w:val="21"/>
          <w:lang w:val="en-US" w:eastAsia="zh-CN"/>
        </w:rPr>
        <w:t>成交</w:t>
      </w:r>
      <w:r>
        <w:rPr>
          <w:rFonts w:hint="eastAsia" w:ascii="宋体" w:hAnsi="宋体" w:eastAsia="宋体" w:cs="宋体"/>
          <w:b/>
          <w:bCs/>
          <w:sz w:val="21"/>
          <w:szCs w:val="21"/>
        </w:rPr>
        <w:t>供应商不可抗力等因素，无法正常履行售后质保的，须由生产制造厂商提供兜底质保服务，直至质保期满，质保期内维修更换等所有费用均由生产制造厂商负责。由生产制造厂商提供相应的承诺文件。</w:t>
      </w:r>
      <w:r>
        <w:rPr>
          <w:rFonts w:hint="eastAsia" w:ascii="宋体" w:hAnsi="宋体" w:eastAsia="宋体" w:cs="宋体"/>
          <w:b/>
          <w:bCs/>
          <w:color w:val="auto"/>
          <w:spacing w:val="1"/>
          <w:kern w:val="2"/>
          <w:sz w:val="21"/>
          <w:szCs w:val="21"/>
          <w:highlight w:val="none"/>
          <w:lang w:val="en-US" w:eastAsia="zh-CN" w:bidi="ar-SA"/>
        </w:rPr>
        <w:t>（提供承诺函，格式自拟）</w:t>
      </w:r>
    </w:p>
    <w:p w14:paraId="6FA12812">
      <w:pPr>
        <w:pStyle w:val="10"/>
        <w:numPr>
          <w:ilvl w:val="0"/>
          <w:numId w:val="5"/>
        </w:numPr>
        <w:ind w:left="0"/>
        <w:rPr>
          <w:rFonts w:hint="eastAsia" w:ascii="宋体" w:hAnsi="宋体" w:eastAsia="宋体" w:cs="宋体"/>
          <w:kern w:val="0"/>
          <w:sz w:val="21"/>
          <w:szCs w:val="21"/>
        </w:rPr>
      </w:pPr>
      <w:r>
        <w:rPr>
          <w:rFonts w:hint="eastAsia" w:ascii="宋体" w:hAnsi="宋体" w:eastAsia="宋体" w:cs="宋体"/>
          <w:kern w:val="0"/>
          <w:sz w:val="21"/>
          <w:szCs w:val="21"/>
        </w:rPr>
        <w:t>验收要求：</w:t>
      </w:r>
    </w:p>
    <w:p w14:paraId="722B35AC">
      <w:pPr>
        <w:pStyle w:val="16"/>
        <w:numPr>
          <w:ilvl w:val="0"/>
          <w:numId w:val="6"/>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成交供应商需向采购人提交书面验收申请，并附系统及设备调试记录、自检报告等相关资料。采购人收到申请后，委托咨询单位依据国家相关标准、行业规范及采购合同约定组织履约验收工作。若验收过程中因货物质量问题产生争议，由项目所在地县级以上质量技术监督部门或其指定的具有资质的检测机构进行鉴定，鉴定费用先由成交供应商垫付。经鉴定，货物符合质量技术标准及合同约定的，鉴定费由采购人承担；不符合的，鉴定费由成交供应商承担，同时成交供应商需承担相应的整改责任。</w:t>
      </w:r>
    </w:p>
    <w:bookmarkEnd w:id="7"/>
    <w:p w14:paraId="3F00C2B5">
      <w:pPr>
        <w:pStyle w:val="10"/>
        <w:numPr>
          <w:ilvl w:val="0"/>
          <w:numId w:val="5"/>
        </w:numPr>
        <w:ind w:left="0"/>
        <w:rPr>
          <w:rFonts w:hint="eastAsia" w:ascii="宋体" w:hAnsi="宋体" w:eastAsia="宋体" w:cs="宋体"/>
          <w:kern w:val="0"/>
          <w:sz w:val="21"/>
          <w:szCs w:val="21"/>
        </w:rPr>
      </w:pPr>
      <w:r>
        <w:rPr>
          <w:rFonts w:hint="eastAsia" w:ascii="宋体" w:hAnsi="宋体" w:eastAsia="宋体" w:cs="宋体"/>
          <w:kern w:val="0"/>
          <w:sz w:val="21"/>
          <w:szCs w:val="21"/>
        </w:rPr>
        <w:t>培训要求：</w:t>
      </w:r>
    </w:p>
    <w:p w14:paraId="0B99093E">
      <w:pPr>
        <w:pStyle w:val="16"/>
        <w:numPr>
          <w:ilvl w:val="0"/>
          <w:numId w:val="7"/>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 xml:space="preserve">在项目验收完成后，成交供应商应提供培训服务，提供专业技术人员对采购人使用人员和相关管理人员进行培训，保证两名以上操作人员熟练掌握操作技术为止。 </w:t>
      </w:r>
    </w:p>
    <w:p w14:paraId="36C8C5AE">
      <w:pPr>
        <w:pStyle w:val="16"/>
        <w:numPr>
          <w:ilvl w:val="0"/>
          <w:numId w:val="7"/>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 xml:space="preserve">成交供应商需制定详细的培训内容和培训计划。 </w:t>
      </w:r>
    </w:p>
    <w:p w14:paraId="3A4A0B8F">
      <w:pPr>
        <w:pStyle w:val="16"/>
        <w:numPr>
          <w:ilvl w:val="0"/>
          <w:numId w:val="7"/>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如遇系统升级更新，成交供应商需及时提供更新操作指导。</w:t>
      </w:r>
    </w:p>
    <w:p w14:paraId="15662E19">
      <w:pPr>
        <w:pStyle w:val="10"/>
        <w:numPr>
          <w:ilvl w:val="0"/>
          <w:numId w:val="5"/>
        </w:numPr>
        <w:ind w:left="0"/>
        <w:rPr>
          <w:rFonts w:hint="eastAsia" w:ascii="宋体" w:hAnsi="宋体" w:eastAsia="宋体" w:cs="宋体"/>
          <w:kern w:val="0"/>
          <w:sz w:val="21"/>
          <w:szCs w:val="21"/>
        </w:rPr>
      </w:pPr>
      <w:r>
        <w:rPr>
          <w:rFonts w:hint="eastAsia" w:ascii="宋体" w:hAnsi="宋体" w:eastAsia="宋体" w:cs="宋体"/>
          <w:kern w:val="0"/>
          <w:sz w:val="21"/>
          <w:szCs w:val="21"/>
        </w:rPr>
        <w:t>付款方式和条件：</w:t>
      </w:r>
    </w:p>
    <w:p w14:paraId="1879E8E8">
      <w:pPr>
        <w:pStyle w:val="16"/>
        <w:numPr>
          <w:ilvl w:val="0"/>
          <w:numId w:val="8"/>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自项目验收完毕之日起30日内，成交供应商向采购人开具合法有效发票后，采购人支付合同金额100%款项。</w:t>
      </w:r>
    </w:p>
    <w:p w14:paraId="16EA9148">
      <w:pPr>
        <w:pStyle w:val="16"/>
        <w:numPr>
          <w:ilvl w:val="0"/>
          <w:numId w:val="8"/>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 xml:space="preserve">结算方式：转账结算（银行转账）。 </w:t>
      </w:r>
    </w:p>
    <w:p w14:paraId="08E9F8C7">
      <w:pPr>
        <w:pStyle w:val="16"/>
        <w:numPr>
          <w:ilvl w:val="0"/>
          <w:numId w:val="8"/>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 xml:space="preserve">成交供应商凭以下有效文件与采购人结算： </w:t>
      </w:r>
    </w:p>
    <w:p w14:paraId="2D2526F2">
      <w:pPr>
        <w:pStyle w:val="18"/>
        <w:spacing w:line="360" w:lineRule="auto"/>
        <w:ind w:left="420" w:leftChars="200" w:firstLine="0"/>
        <w:rPr>
          <w:rFonts w:hint="eastAsia" w:ascii="宋体" w:hAnsi="宋体" w:eastAsia="宋体" w:cs="宋体"/>
          <w:sz w:val="21"/>
          <w:szCs w:val="21"/>
        </w:rPr>
      </w:pPr>
      <w:r>
        <w:rPr>
          <w:rFonts w:hint="eastAsia" w:ascii="宋体" w:hAnsi="宋体" w:eastAsia="宋体" w:cs="宋体"/>
          <w:sz w:val="21"/>
          <w:szCs w:val="21"/>
        </w:rPr>
        <w:t xml:space="preserve">（1）合同。 </w:t>
      </w:r>
    </w:p>
    <w:p w14:paraId="341F0B1D">
      <w:pPr>
        <w:pStyle w:val="18"/>
        <w:spacing w:line="360" w:lineRule="auto"/>
        <w:ind w:left="420" w:leftChars="200" w:firstLine="0"/>
        <w:rPr>
          <w:rFonts w:hint="eastAsia" w:ascii="宋体" w:hAnsi="宋体" w:eastAsia="宋体" w:cs="宋体"/>
          <w:sz w:val="21"/>
          <w:szCs w:val="21"/>
        </w:rPr>
      </w:pPr>
      <w:r>
        <w:rPr>
          <w:rFonts w:hint="eastAsia" w:ascii="宋体" w:hAnsi="宋体" w:eastAsia="宋体" w:cs="宋体"/>
          <w:sz w:val="21"/>
          <w:szCs w:val="21"/>
        </w:rPr>
        <w:t xml:space="preserve">（2）成交供应商开具的正式发票：成交供应商收款时必须持有效发票。收款方、出具发票方、合同乙方均必须与成交供应商名称一致。 </w:t>
      </w:r>
    </w:p>
    <w:p w14:paraId="2C3EEE71">
      <w:pPr>
        <w:pStyle w:val="18"/>
        <w:spacing w:line="360" w:lineRule="auto"/>
        <w:ind w:left="420" w:leftChars="200" w:firstLine="0"/>
        <w:rPr>
          <w:rFonts w:hint="eastAsia" w:ascii="宋体" w:hAnsi="宋体" w:eastAsia="宋体" w:cs="宋体"/>
          <w:sz w:val="21"/>
          <w:szCs w:val="21"/>
        </w:rPr>
      </w:pPr>
      <w:r>
        <w:rPr>
          <w:rFonts w:hint="eastAsia" w:ascii="宋体" w:hAnsi="宋体" w:eastAsia="宋体" w:cs="宋体"/>
          <w:sz w:val="21"/>
          <w:szCs w:val="21"/>
        </w:rPr>
        <w:t>（3）验收报告。</w:t>
      </w:r>
    </w:p>
    <w:p w14:paraId="35E8967C">
      <w:pPr>
        <w:pStyle w:val="16"/>
        <w:numPr>
          <w:ilvl w:val="0"/>
          <w:numId w:val="8"/>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 xml:space="preserve">因采购人使用的是财政资金，采购人在前款规定的付款时间为向政府采购支付部门提出办理财政支付申请手续的时间（不含政府财政支付部门审核的时间），在规定时间内提出支付申请手续后即视为采购人已经按期支付。 </w:t>
      </w:r>
    </w:p>
    <w:p w14:paraId="606F7DB2">
      <w:pPr>
        <w:pStyle w:val="16"/>
        <w:numPr>
          <w:ilvl w:val="0"/>
          <w:numId w:val="8"/>
        </w:numPr>
        <w:spacing w:line="360" w:lineRule="auto"/>
        <w:ind w:left="420" w:leftChars="200"/>
        <w:rPr>
          <w:rFonts w:hint="eastAsia" w:ascii="宋体" w:hAnsi="宋体" w:eastAsia="宋体" w:cs="宋体"/>
          <w:b/>
          <w:bCs/>
          <w:kern w:val="2"/>
          <w:sz w:val="21"/>
          <w:szCs w:val="21"/>
        </w:rPr>
      </w:pPr>
      <w:r>
        <w:rPr>
          <w:rFonts w:hint="eastAsia" w:ascii="宋体" w:hAnsi="宋体" w:eastAsia="宋体" w:cs="宋体"/>
          <w:sz w:val="21"/>
          <w:szCs w:val="21"/>
        </w:rPr>
        <w:t>付款期间如因特殊情况需调整，由双方协商处理。</w:t>
      </w:r>
    </w:p>
    <w:p w14:paraId="5894486A">
      <w:pPr>
        <w:jc w:val="both"/>
        <w:rPr>
          <w:rFonts w:hint="eastAsia" w:ascii="宋体" w:hAnsi="宋体" w:eastAsia="宋体" w:cs="宋体"/>
          <w:b/>
          <w:bCs/>
          <w:sz w:val="44"/>
          <w:szCs w:val="44"/>
          <w:lang w:val="en-US" w:eastAsia="zh-CN"/>
        </w:rPr>
      </w:pPr>
      <w:bookmarkStart w:id="8" w:name="_GoBack"/>
      <w:bookmarkEnd w:id="8"/>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ED401B"/>
    <w:multiLevelType w:val="singleLevel"/>
    <w:tmpl w:val="80ED401B"/>
    <w:lvl w:ilvl="0" w:tentative="0">
      <w:start w:val="1"/>
      <w:numFmt w:val="decimal"/>
      <w:lvlText w:val="%1."/>
      <w:lvlJc w:val="left"/>
      <w:pPr>
        <w:ind w:left="425" w:hanging="425"/>
      </w:pPr>
      <w:rPr>
        <w:rFonts w:hint="default"/>
      </w:rPr>
    </w:lvl>
  </w:abstractNum>
  <w:abstractNum w:abstractNumId="1">
    <w:nsid w:val="8CFE754F"/>
    <w:multiLevelType w:val="singleLevel"/>
    <w:tmpl w:val="8CFE754F"/>
    <w:lvl w:ilvl="0" w:tentative="0">
      <w:start w:val="1"/>
      <w:numFmt w:val="decimal"/>
      <w:lvlText w:val="%1."/>
      <w:lvlJc w:val="left"/>
      <w:pPr>
        <w:ind w:left="425" w:hanging="425"/>
      </w:pPr>
      <w:rPr>
        <w:rFonts w:hint="default"/>
      </w:rPr>
    </w:lvl>
  </w:abstractNum>
  <w:abstractNum w:abstractNumId="2">
    <w:nsid w:val="DCF3DF25"/>
    <w:multiLevelType w:val="singleLevel"/>
    <w:tmpl w:val="DCF3DF25"/>
    <w:lvl w:ilvl="0" w:tentative="0">
      <w:start w:val="2"/>
      <w:numFmt w:val="chineseCounting"/>
      <w:suff w:val="nothing"/>
      <w:lvlText w:val="%1、"/>
      <w:lvlJc w:val="left"/>
      <w:rPr>
        <w:rFonts w:hint="eastAsia"/>
      </w:rPr>
    </w:lvl>
  </w:abstractNum>
  <w:abstractNum w:abstractNumId="3">
    <w:nsid w:val="F7A85BAA"/>
    <w:multiLevelType w:val="singleLevel"/>
    <w:tmpl w:val="F7A85BAA"/>
    <w:lvl w:ilvl="0" w:tentative="0">
      <w:start w:val="1"/>
      <w:numFmt w:val="decimal"/>
      <w:lvlText w:val="%1."/>
      <w:lvlJc w:val="left"/>
      <w:pPr>
        <w:ind w:left="425" w:hanging="425"/>
      </w:pPr>
      <w:rPr>
        <w:rFonts w:hint="default"/>
      </w:rPr>
    </w:lvl>
  </w:abstractNum>
  <w:abstractNum w:abstractNumId="4">
    <w:nsid w:val="FA124C04"/>
    <w:multiLevelType w:val="singleLevel"/>
    <w:tmpl w:val="FA124C04"/>
    <w:lvl w:ilvl="0" w:tentative="0">
      <w:start w:val="5"/>
      <w:numFmt w:val="chineseCounting"/>
      <w:suff w:val="nothing"/>
      <w:lvlText w:val="（%1）"/>
      <w:lvlJc w:val="left"/>
      <w:rPr>
        <w:rFonts w:hint="eastAsia"/>
      </w:rPr>
    </w:lvl>
  </w:abstractNum>
  <w:abstractNum w:abstractNumId="5">
    <w:nsid w:val="FBA62E20"/>
    <w:multiLevelType w:val="singleLevel"/>
    <w:tmpl w:val="FBA62E20"/>
    <w:lvl w:ilvl="0" w:tentative="0">
      <w:start w:val="1"/>
      <w:numFmt w:val="decimal"/>
      <w:lvlText w:val="%1."/>
      <w:lvlJc w:val="left"/>
      <w:pPr>
        <w:ind w:left="425" w:hanging="425"/>
      </w:pPr>
      <w:rPr>
        <w:rFonts w:hint="default"/>
      </w:rPr>
    </w:lvl>
  </w:abstractNum>
  <w:abstractNum w:abstractNumId="6">
    <w:nsid w:val="FFFFF051"/>
    <w:multiLevelType w:val="singleLevel"/>
    <w:tmpl w:val="FFFFF051"/>
    <w:lvl w:ilvl="0" w:tentative="0">
      <w:start w:val="1"/>
      <w:numFmt w:val="decimal"/>
      <w:lvlText w:val="%1."/>
      <w:lvlJc w:val="left"/>
      <w:pPr>
        <w:ind w:left="425" w:hanging="425"/>
      </w:pPr>
      <w:rPr>
        <w:rFonts w:hint="default"/>
      </w:rPr>
    </w:lvl>
  </w:abstractNum>
  <w:abstractNum w:abstractNumId="7">
    <w:nsid w:val="2D88709F"/>
    <w:multiLevelType w:val="singleLevel"/>
    <w:tmpl w:val="2D88709F"/>
    <w:lvl w:ilvl="0" w:tentative="0">
      <w:start w:val="1"/>
      <w:numFmt w:val="decimal"/>
      <w:lvlText w:val="%1."/>
      <w:lvlJc w:val="left"/>
      <w:pPr>
        <w:ind w:left="425" w:hanging="425"/>
      </w:pPr>
      <w:rPr>
        <w:rFonts w:hint="default"/>
      </w:rPr>
    </w:lvl>
  </w:abstractNum>
  <w:num w:numId="1">
    <w:abstractNumId w:val="2"/>
  </w:num>
  <w:num w:numId="2">
    <w:abstractNumId w:val="5"/>
  </w:num>
  <w:num w:numId="3">
    <w:abstractNumId w:val="3"/>
  </w:num>
  <w:num w:numId="4">
    <w:abstractNumId w:val="6"/>
  </w:num>
  <w:num w:numId="5">
    <w:abstractNumId w:val="4"/>
  </w:num>
  <w:num w:numId="6">
    <w:abstractNumId w:val="0"/>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C16C66"/>
    <w:rsid w:val="056A0DEE"/>
    <w:rsid w:val="06C16C66"/>
    <w:rsid w:val="08ED53DA"/>
    <w:rsid w:val="1A240D32"/>
    <w:rsid w:val="1AE801D6"/>
    <w:rsid w:val="1C8E5E18"/>
    <w:rsid w:val="1CB515F6"/>
    <w:rsid w:val="1D02393F"/>
    <w:rsid w:val="2B790267"/>
    <w:rsid w:val="32A41556"/>
    <w:rsid w:val="33FC6DA4"/>
    <w:rsid w:val="34F90A02"/>
    <w:rsid w:val="38F82780"/>
    <w:rsid w:val="392A6A70"/>
    <w:rsid w:val="3CC54C09"/>
    <w:rsid w:val="40131F31"/>
    <w:rsid w:val="43B962A8"/>
    <w:rsid w:val="484E3ABF"/>
    <w:rsid w:val="4C2D26A8"/>
    <w:rsid w:val="55A27C63"/>
    <w:rsid w:val="571B7CCD"/>
    <w:rsid w:val="577B5680"/>
    <w:rsid w:val="579E26AC"/>
    <w:rsid w:val="594D07E5"/>
    <w:rsid w:val="5C207B33"/>
    <w:rsid w:val="5C735EC2"/>
    <w:rsid w:val="5F5F103A"/>
    <w:rsid w:val="631A7957"/>
    <w:rsid w:val="65EA3902"/>
    <w:rsid w:val="68CA4864"/>
    <w:rsid w:val="69286279"/>
    <w:rsid w:val="6BA22313"/>
    <w:rsid w:val="6DCD0AF3"/>
    <w:rsid w:val="72173058"/>
    <w:rsid w:val="78AA0A59"/>
    <w:rsid w:val="7C165D57"/>
    <w:rsid w:val="7C5F728D"/>
    <w:rsid w:val="7CBE4AD3"/>
    <w:rsid w:val="7EA9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4">
    <w:name w:val="heading 4"/>
    <w:basedOn w:val="1"/>
    <w:next w:val="1"/>
    <w:qFormat/>
    <w:uiPriority w:val="0"/>
    <w:pPr>
      <w:keepNext/>
      <w:keepLines/>
      <w:outlineLvl w:val="3"/>
    </w:pPr>
    <w:rPr>
      <w:rFonts w:ascii="Arial" w:hAnsi="Arial" w:eastAsia="黑体"/>
      <w:bCs/>
      <w:kern w:val="0"/>
      <w:sz w:val="24"/>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style>
  <w:style w:type="paragraph" w:styleId="5">
    <w:name w:val="caption"/>
    <w:basedOn w:val="1"/>
    <w:next w:val="1"/>
    <w:qFormat/>
    <w:uiPriority w:val="0"/>
    <w:rPr>
      <w:rFonts w:ascii="Arial" w:hAnsi="Arial" w:eastAsia="黑体" w:cs="Arial"/>
      <w:sz w:val="20"/>
      <w:szCs w:val="20"/>
    </w:rPr>
  </w:style>
  <w:style w:type="paragraph" w:styleId="6">
    <w:name w:val="Body Text"/>
    <w:basedOn w:val="1"/>
    <w:next w:val="7"/>
    <w:qFormat/>
    <w:uiPriority w:val="0"/>
    <w:pPr>
      <w:spacing w:line="360" w:lineRule="auto"/>
    </w:pPr>
    <w:rPr>
      <w:szCs w:val="20"/>
    </w:rPr>
  </w:style>
  <w:style w:type="paragraph" w:customStyle="1" w:styleId="7">
    <w:name w:val="_Style 2"/>
    <w:basedOn w:val="1"/>
    <w:next w:val="1"/>
    <w:qFormat/>
    <w:uiPriority w:val="0"/>
    <w:pPr>
      <w:wordWrap w:val="0"/>
      <w:spacing w:before="200"/>
      <w:ind w:left="864" w:right="864"/>
      <w:jc w:val="center"/>
    </w:pPr>
    <w:rPr>
      <w:i/>
    </w:rPr>
  </w:style>
  <w:style w:type="paragraph" w:styleId="8">
    <w:name w:val="Body Text Indent"/>
    <w:basedOn w:val="1"/>
    <w:qFormat/>
    <w:uiPriority w:val="0"/>
    <w:pPr>
      <w:spacing w:line="360" w:lineRule="auto"/>
      <w:ind w:left="425" w:firstLine="518" w:firstLineChars="216"/>
    </w:pPr>
    <w:rPr>
      <w:rFonts w:ascii="楷体_GB2312" w:eastAsia="楷体_GB2312"/>
      <w:sz w:val="24"/>
    </w:rPr>
  </w:style>
  <w:style w:type="paragraph" w:styleId="9">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paragraph" w:styleId="10">
    <w:name w:val="Body Text First Indent 2"/>
    <w:basedOn w:val="8"/>
    <w:unhideWhenUsed/>
    <w:qFormat/>
    <w:uiPriority w:val="99"/>
    <w:pPr>
      <w:ind w:firstLine="420" w:firstLineChars="200"/>
    </w:pPr>
  </w:style>
  <w:style w:type="character" w:styleId="13">
    <w:name w:val="Strong"/>
    <w:basedOn w:val="12"/>
    <w:qFormat/>
    <w:uiPriority w:val="0"/>
    <w:rPr>
      <w:b/>
    </w:rPr>
  </w:style>
  <w:style w:type="paragraph" w:customStyle="1" w:styleId="14">
    <w:name w:val="题注4"/>
    <w:basedOn w:val="1"/>
    <w:next w:val="5"/>
    <w:qFormat/>
    <w:uiPriority w:val="0"/>
    <w:pPr>
      <w:ind w:left="-132" w:leftChars="-64" w:right="-105" w:rightChars="-50" w:hanging="2"/>
      <w:jc w:val="center"/>
    </w:pPr>
    <w:rPr>
      <w:b/>
      <w:color w:val="FF0000"/>
      <w:szCs w:val="21"/>
      <w:lang w:val="en-GB"/>
    </w:rPr>
  </w:style>
  <w:style w:type="paragraph" w:customStyle="1" w:styleId="15">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16">
    <w:name w:val="正文正"/>
    <w:basedOn w:val="17"/>
    <w:qFormat/>
    <w:uiPriority w:val="0"/>
    <w:pPr>
      <w:spacing w:line="560" w:lineRule="exact"/>
      <w:ind w:firstLine="561"/>
    </w:pPr>
    <w:rPr>
      <w:rFonts w:eastAsia="仿宋_GB2312"/>
      <w:sz w:val="28"/>
      <w:szCs w:val="24"/>
    </w:rPr>
  </w:style>
  <w:style w:type="paragraph" w:customStyle="1" w:styleId="17">
    <w:name w:val="正文 New New New New New New New"/>
    <w:qFormat/>
    <w:uiPriority w:val="0"/>
    <w:pPr>
      <w:widowControl w:val="0"/>
      <w:autoSpaceDE w:val="0"/>
      <w:autoSpaceDN w:val="0"/>
      <w:adjustRightInd w:val="0"/>
    </w:pPr>
    <w:rPr>
      <w:rFonts w:ascii="宋体" w:hAnsi="Times New Roman" w:eastAsia="宋体" w:cs="Times New Roman"/>
      <w:sz w:val="24"/>
      <w:szCs w:val="24"/>
      <w:lang w:val="en-US" w:eastAsia="zh-CN" w:bidi="ar-SA"/>
    </w:rPr>
  </w:style>
  <w:style w:type="paragraph" w:customStyle="1" w:styleId="18">
    <w:name w:val="Normal Indent"/>
    <w:basedOn w:val="19"/>
    <w:qFormat/>
    <w:uiPriority w:val="0"/>
    <w:pPr>
      <w:widowControl/>
      <w:ind w:firstLine="420"/>
      <w:jc w:val="left"/>
    </w:pPr>
    <w:rPr>
      <w:rFonts w:ascii="Times New Roman" w:hAnsi="Times New Roman"/>
      <w:kern w:val="0"/>
      <w:szCs w:val="20"/>
    </w:rPr>
  </w:style>
  <w:style w:type="paragraph" w:customStyle="1" w:styleId="19">
    <w:name w:val="正文 New"/>
    <w:next w:val="1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
    <w:name w:val="_Style 3"/>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21">
    <w:name w:val="NormalCharacter"/>
    <w:semiHidden/>
    <w:qFormat/>
    <w:uiPriority w:val="0"/>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3039</Words>
  <Characters>3172</Characters>
  <Lines>0</Lines>
  <Paragraphs>0</Paragraphs>
  <TotalTime>0</TotalTime>
  <ScaleCrop>false</ScaleCrop>
  <LinksUpToDate>false</LinksUpToDate>
  <CharactersWithSpaces>3240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2025-12-11T01:07:00Z</dcterms:created>
  <dc:creator>王俊</dc:creator>
  <cp:lastModifiedBy>Daishaoc</cp:lastModifiedBy>
  <cp:lastPrinted>2025-12-23T02:12:00Z</cp:lastPrinted>
  <dcterms:modified xsi:type="dcterms:W3CDTF">2026-07-10T03:31:55Z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9D346CCA2B51454A89756325F7B013BF_13</vt:lpwstr>
  </property>
  <property fmtid="{D5CDD505-2E9C-101B-9397-08002B2CF9AE}" pid="4" name="KSOTemplateDocerSaveRecord">
    <vt:lpwstr>eyJoZGlkIjoiODMwNzAyZGZiNDI2NDk5ODY1YmMzMTY3MjUxYjI4MDAiLCJ1c2VySWQiOiI2NTU3NzExNTAifQ==</vt:lpwstr>
  </property>
</Properties>
</file>