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A00F1">
      <w:pPr>
        <w:spacing w:line="240" w:lineRule="auto"/>
        <w:jc w:val="center"/>
        <w:rPr>
          <w:rFonts w:hint="eastAsia" w:ascii="宋体" w:hAnsi="宋体" w:cs="宋体"/>
          <w:b/>
          <w:bCs/>
          <w:color w:val="auto"/>
          <w:sz w:val="36"/>
          <w:szCs w:val="36"/>
          <w:lang w:val="en-US" w:eastAsia="zh-CN"/>
        </w:rPr>
      </w:pPr>
      <w:r>
        <w:rPr>
          <w:rFonts w:hint="eastAsia" w:ascii="宋体" w:hAnsi="宋体" w:cs="宋体"/>
          <w:b/>
          <w:bCs/>
          <w:color w:val="auto"/>
          <w:sz w:val="36"/>
          <w:szCs w:val="36"/>
          <w:lang w:val="en-US" w:eastAsia="zh-CN"/>
        </w:rPr>
        <w:t>韶关市技师学院液压升降柱及水泥石墩购置项目</w:t>
      </w:r>
    </w:p>
    <w:p w14:paraId="4D0C8F2E">
      <w:pPr>
        <w:spacing w:line="240" w:lineRule="auto"/>
        <w:jc w:val="center"/>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采购需求及审核意见</w:t>
      </w:r>
    </w:p>
    <w:p w14:paraId="1B187912">
      <w:pPr>
        <w:numPr>
          <w:ilvl w:val="0"/>
          <w:numId w:val="0"/>
        </w:numPr>
        <w:spacing w:line="240" w:lineRule="auto"/>
        <w:rPr>
          <w:rFonts w:hint="eastAsia" w:ascii="宋体" w:hAnsi="宋体" w:eastAsia="宋体" w:cs="宋体"/>
          <w:b w:val="0"/>
          <w:bCs w:val="0"/>
          <w:color w:val="auto"/>
          <w:sz w:val="21"/>
          <w:szCs w:val="21"/>
          <w:lang w:val="en-US" w:eastAsia="zh-CN"/>
        </w:rPr>
      </w:pPr>
    </w:p>
    <w:p w14:paraId="0661B734">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采购项目技术规格、参数及其他要求</w:t>
      </w:r>
    </w:p>
    <w:p w14:paraId="0789E8CC">
      <w:pPr>
        <w:pStyle w:val="12"/>
        <w:numPr>
          <w:ilvl w:val="0"/>
          <w:numId w:val="0"/>
        </w:numPr>
        <w:spacing w:line="36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采购需求一览表</w:t>
      </w:r>
    </w:p>
    <w:tbl>
      <w:tblPr>
        <w:tblStyle w:val="8"/>
        <w:tblW w:w="4998" w:type="pct"/>
        <w:jc w:val="center"/>
        <w:tblLayout w:type="autofit"/>
        <w:tblCellMar>
          <w:top w:w="0" w:type="dxa"/>
          <w:left w:w="0" w:type="dxa"/>
          <w:bottom w:w="0" w:type="dxa"/>
          <w:right w:w="0" w:type="dxa"/>
        </w:tblCellMar>
      </w:tblPr>
      <w:tblGrid>
        <w:gridCol w:w="665"/>
        <w:gridCol w:w="2347"/>
        <w:gridCol w:w="557"/>
        <w:gridCol w:w="1300"/>
        <w:gridCol w:w="1918"/>
        <w:gridCol w:w="1546"/>
      </w:tblGrid>
      <w:tr w14:paraId="4C914361">
        <w:tblPrEx>
          <w:tblCellMar>
            <w:top w:w="0" w:type="dxa"/>
            <w:left w:w="0" w:type="dxa"/>
            <w:bottom w:w="0" w:type="dxa"/>
            <w:right w:w="0" w:type="dxa"/>
          </w:tblCellMar>
        </w:tblPrEx>
        <w:trPr>
          <w:trHeight w:val="78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BADDE95">
            <w:pPr>
              <w:keepNext w:val="0"/>
              <w:keepLines w:val="0"/>
              <w:widowControl/>
              <w:suppressLineNumbers w:val="0"/>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序号</w:t>
            </w:r>
          </w:p>
        </w:tc>
        <w:tc>
          <w:tcPr>
            <w:tcW w:w="140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4F98891">
            <w:pPr>
              <w:keepNext w:val="0"/>
              <w:keepLines w:val="0"/>
              <w:widowControl/>
              <w:suppressLineNumbers w:val="0"/>
              <w:spacing w:line="360" w:lineRule="auto"/>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采购内容</w:t>
            </w:r>
          </w:p>
        </w:tc>
        <w:tc>
          <w:tcPr>
            <w:tcW w:w="33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90ED6AA">
            <w:pPr>
              <w:keepNext w:val="0"/>
              <w:keepLines w:val="0"/>
              <w:widowControl/>
              <w:suppressLineNumbers w:val="0"/>
              <w:spacing w:line="360" w:lineRule="auto"/>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数量</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A1AFB8D">
            <w:pPr>
              <w:keepNext w:val="0"/>
              <w:keepLines w:val="0"/>
              <w:widowControl/>
              <w:suppressLineNumbers w:val="0"/>
              <w:spacing w:line="36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技术需求</w:t>
            </w:r>
          </w:p>
        </w:tc>
        <w:tc>
          <w:tcPr>
            <w:tcW w:w="115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41E5F30">
            <w:pPr>
              <w:keepNext w:val="0"/>
              <w:keepLines w:val="0"/>
              <w:widowControl/>
              <w:suppressLineNumbers w:val="0"/>
              <w:spacing w:line="36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交货期</w:t>
            </w:r>
          </w:p>
        </w:tc>
        <w:tc>
          <w:tcPr>
            <w:tcW w:w="92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ACC639F">
            <w:pPr>
              <w:keepNext w:val="0"/>
              <w:keepLines w:val="0"/>
              <w:widowControl/>
              <w:suppressLineNumbers w:val="0"/>
              <w:spacing w:line="36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预算金额</w:t>
            </w:r>
          </w:p>
        </w:tc>
      </w:tr>
      <w:tr w14:paraId="60A96D67">
        <w:tblPrEx>
          <w:tblCellMar>
            <w:top w:w="0" w:type="dxa"/>
            <w:left w:w="0" w:type="dxa"/>
            <w:bottom w:w="0" w:type="dxa"/>
            <w:right w:w="0" w:type="dxa"/>
          </w:tblCellMar>
        </w:tblPrEx>
        <w:trPr>
          <w:trHeight w:val="138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122E172">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140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0741F18">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韶关市技师学院液压升降柱及水泥石墩购置项目</w:t>
            </w:r>
          </w:p>
        </w:tc>
        <w:tc>
          <w:tcPr>
            <w:tcW w:w="33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E4E5EE2">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1项</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5984046">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w:t>
            </w:r>
            <w:r>
              <w:rPr>
                <w:rFonts w:hint="eastAsia" w:ascii="宋体" w:hAnsi="宋体" w:eastAsia="宋体" w:cs="宋体"/>
                <w:color w:val="auto"/>
                <w:sz w:val="21"/>
                <w:szCs w:val="21"/>
                <w:lang w:val="en-US" w:eastAsia="zh-CN"/>
              </w:rPr>
              <w:t>2、采购标的清单、技术规格及参数</w:t>
            </w:r>
          </w:p>
        </w:tc>
        <w:tc>
          <w:tcPr>
            <w:tcW w:w="115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B5E1442">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color w:val="auto"/>
                <w:sz w:val="21"/>
                <w:szCs w:val="21"/>
                <w:lang w:val="en-US" w:eastAsia="zh-CN"/>
              </w:rPr>
              <w:t>自合同签订后</w:t>
            </w: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val="en-US" w:eastAsia="zh-CN"/>
              </w:rPr>
              <w:t>日内完成项目全部内容的交货、安装、调试及验收</w:t>
            </w:r>
          </w:p>
        </w:tc>
        <w:tc>
          <w:tcPr>
            <w:tcW w:w="92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1AA7A71">
            <w:pPr>
              <w:pStyle w:val="12"/>
              <w:spacing w:line="36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i w:val="0"/>
                <w:color w:val="auto"/>
                <w:kern w:val="2"/>
                <w:sz w:val="21"/>
                <w:szCs w:val="21"/>
                <w:u w:val="none"/>
                <w:lang w:val="en-US" w:eastAsia="zh-CN" w:bidi="ar-SA"/>
              </w:rPr>
              <w:t>¥90000.00</w:t>
            </w:r>
          </w:p>
        </w:tc>
      </w:tr>
    </w:tbl>
    <w:p w14:paraId="677C9387">
      <w:pPr>
        <w:pStyle w:val="12"/>
        <w:numPr>
          <w:ilvl w:val="0"/>
          <w:numId w:val="0"/>
        </w:numPr>
        <w:spacing w:line="36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采购标的清单、技术规格及参数</w:t>
      </w:r>
    </w:p>
    <w:tbl>
      <w:tblPr>
        <w:tblStyle w:val="8"/>
        <w:tblW w:w="5012"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57"/>
        <w:gridCol w:w="1172"/>
        <w:gridCol w:w="4085"/>
        <w:gridCol w:w="495"/>
        <w:gridCol w:w="720"/>
        <w:gridCol w:w="1414"/>
      </w:tblGrid>
      <w:tr w14:paraId="783F15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90" w:hRule="atLeast"/>
          <w:jc w:val="center"/>
        </w:trPr>
        <w:tc>
          <w:tcPr>
            <w:tcW w:w="384" w:type="pct"/>
            <w:tcBorders>
              <w:tl2br w:val="nil"/>
              <w:tr2bl w:val="nil"/>
            </w:tcBorders>
            <w:noWrap w:val="0"/>
            <w:vAlign w:val="center"/>
          </w:tcPr>
          <w:p w14:paraId="617A35EA">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685" w:type="pct"/>
            <w:tcBorders>
              <w:tl2br w:val="nil"/>
              <w:tr2bl w:val="nil"/>
            </w:tcBorders>
            <w:noWrap w:val="0"/>
            <w:vAlign w:val="center"/>
          </w:tcPr>
          <w:p w14:paraId="0852B645">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bidi="ar"/>
              </w:rPr>
              <w:t>物资名称</w:t>
            </w:r>
          </w:p>
        </w:tc>
        <w:tc>
          <w:tcPr>
            <w:tcW w:w="2390" w:type="pct"/>
            <w:tcBorders>
              <w:tl2br w:val="nil"/>
              <w:tr2bl w:val="nil"/>
            </w:tcBorders>
            <w:noWrap w:val="0"/>
            <w:vAlign w:val="center"/>
          </w:tcPr>
          <w:p w14:paraId="2BDB3B0B">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color w:val="auto"/>
                <w:sz w:val="21"/>
                <w:szCs w:val="21"/>
                <w:lang w:val="en-US" w:eastAsia="zh-CN"/>
              </w:rPr>
              <w:t>技术规格及参数</w:t>
            </w:r>
          </w:p>
        </w:tc>
        <w:tc>
          <w:tcPr>
            <w:tcW w:w="289" w:type="pct"/>
            <w:tcBorders>
              <w:tl2br w:val="nil"/>
              <w:tr2bl w:val="nil"/>
            </w:tcBorders>
            <w:noWrap w:val="0"/>
            <w:vAlign w:val="center"/>
          </w:tcPr>
          <w:p w14:paraId="13615F0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color w:val="auto"/>
                <w:sz w:val="21"/>
                <w:szCs w:val="21"/>
                <w:lang w:val="en-US" w:eastAsia="zh-CN"/>
              </w:rPr>
              <w:t>单位</w:t>
            </w:r>
          </w:p>
        </w:tc>
        <w:tc>
          <w:tcPr>
            <w:tcW w:w="421" w:type="pct"/>
            <w:tcBorders>
              <w:tl2br w:val="nil"/>
              <w:tr2bl w:val="nil"/>
            </w:tcBorders>
            <w:noWrap w:val="0"/>
            <w:vAlign w:val="center"/>
          </w:tcPr>
          <w:p w14:paraId="42A618FE">
            <w:pPr>
              <w:keepNext w:val="0"/>
              <w:keepLines w:val="0"/>
              <w:widowControl/>
              <w:suppressLineNumbers w:val="0"/>
              <w:spacing w:line="360" w:lineRule="auto"/>
              <w:jc w:val="center"/>
              <w:textAlignment w:val="center"/>
              <w:rPr>
                <w:rFonts w:hint="eastAsia" w:ascii="宋体" w:hAnsi="宋体" w:eastAsia="宋体" w:cs="宋体"/>
                <w:b/>
                <w:bCs/>
                <w:color w:val="auto"/>
                <w:sz w:val="21"/>
                <w:szCs w:val="21"/>
                <w:lang w:val="en-US" w:eastAsia="zh-CN"/>
              </w:rPr>
            </w:pPr>
            <w:r>
              <w:rPr>
                <w:rFonts w:hint="eastAsia" w:ascii="宋体" w:hAnsi="宋体" w:eastAsia="宋体" w:cs="宋体"/>
                <w:b/>
                <w:bCs/>
                <w:i w:val="0"/>
                <w:iCs w:val="0"/>
                <w:color w:val="000000"/>
                <w:kern w:val="0"/>
                <w:sz w:val="21"/>
                <w:szCs w:val="21"/>
                <w:u w:val="none"/>
                <w:lang w:val="en-US" w:eastAsia="zh-CN" w:bidi="ar"/>
              </w:rPr>
              <w:t>数量(件)</w:t>
            </w:r>
          </w:p>
        </w:tc>
        <w:tc>
          <w:tcPr>
            <w:tcW w:w="827" w:type="pct"/>
            <w:tcBorders>
              <w:tl2br w:val="nil"/>
              <w:tr2bl w:val="nil"/>
            </w:tcBorders>
            <w:noWrap w:val="0"/>
            <w:vAlign w:val="center"/>
          </w:tcPr>
          <w:p w14:paraId="5840C413">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备注</w:t>
            </w:r>
          </w:p>
        </w:tc>
      </w:tr>
      <w:tr w14:paraId="359F561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84" w:type="pct"/>
            <w:tcBorders>
              <w:tl2br w:val="nil"/>
              <w:tr2bl w:val="nil"/>
            </w:tcBorders>
            <w:noWrap w:val="0"/>
            <w:vAlign w:val="center"/>
          </w:tcPr>
          <w:p w14:paraId="1DD7170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85" w:type="pct"/>
            <w:tcBorders>
              <w:tl2br w:val="nil"/>
              <w:tr2bl w:val="nil"/>
            </w:tcBorders>
            <w:noWrap w:val="0"/>
            <w:vAlign w:val="center"/>
          </w:tcPr>
          <w:p w14:paraId="0E86A0D9">
            <w:pPr>
              <w:tabs>
                <w:tab w:val="center" w:pos="1512"/>
              </w:tabs>
              <w:jc w:val="center"/>
              <w:rPr>
                <w:rFonts w:hint="eastAsia" w:ascii="宋体" w:hAnsi="宋体" w:eastAsia="宋体" w:cs="宋体"/>
                <w:i w:val="0"/>
                <w:iCs w:val="0"/>
                <w:color w:val="000000"/>
                <w:sz w:val="21"/>
                <w:szCs w:val="21"/>
                <w:u w:val="none"/>
              </w:rPr>
            </w:pPr>
            <w:r>
              <w:rPr>
                <w:rFonts w:hint="eastAsia" w:ascii="宋体" w:hAnsi="宋体" w:eastAsia="宋体" w:cs="宋体"/>
                <w:sz w:val="21"/>
                <w:szCs w:val="21"/>
                <w:lang w:val="en-US" w:eastAsia="zh-CN"/>
              </w:rPr>
              <w:t>全自动液压升降柱（含安装）</w:t>
            </w:r>
          </w:p>
        </w:tc>
        <w:tc>
          <w:tcPr>
            <w:tcW w:w="2390" w:type="pct"/>
            <w:tcBorders>
              <w:tl2br w:val="nil"/>
              <w:tr2bl w:val="nil"/>
            </w:tcBorders>
            <w:noWrap w:val="0"/>
            <w:vAlign w:val="center"/>
          </w:tcPr>
          <w:p w14:paraId="0C71A4B6">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1、柱体尺寸：直径≥219±1mm；</w:t>
            </w:r>
          </w:p>
          <w:p w14:paraId="218D0394">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2、柱体厚度：≥6±0.5mm；</w:t>
            </w:r>
          </w:p>
          <w:p w14:paraId="673E185D">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3、柱体高度（拦截高度）：≥600±5mm。</w:t>
            </w:r>
          </w:p>
          <w:p w14:paraId="6F1815F1">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4、柱体材质：304不锈钢材质，表面拉丝处理；</w:t>
            </w:r>
          </w:p>
          <w:p w14:paraId="385C1B9E">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5、柱体类型：全自动液压一体式（每根升降柱内部单独配置液压机芯）；</w:t>
            </w:r>
          </w:p>
          <w:p w14:paraId="1E5AD4AF">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6、运行速度：上升时间2-4s,下降时间2-4s；</w:t>
            </w:r>
          </w:p>
          <w:p w14:paraId="089299B7">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7、工作环境温度：-30~55℃；</w:t>
            </w:r>
          </w:p>
          <w:p w14:paraId="28E3E7BC">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8、机芯浸水性能：升降柱浸泡在1.5米深度水中，以每分钟2次的工作频率，连续运行120个小时后，升降状态正常，无卡滞、到位精准可靠，无漏油漏电现象；</w:t>
            </w:r>
          </w:p>
          <w:p w14:paraId="6961A252">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9、紧急处理要求：当停电时，可以通过停止键对液压系统泄压，让升降柱下降；</w:t>
            </w:r>
          </w:p>
          <w:p w14:paraId="7BF61868">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10、警示方式要求：柱体配备反光膜和LED警示灯带，灯带有加亚克力灯罩保护；</w:t>
            </w:r>
          </w:p>
          <w:p w14:paraId="1C8A367A">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11、控制方式：设备支持通过遥控器远程遥控、物理按钮等方式联动控制升降柱运行；</w:t>
            </w:r>
          </w:p>
          <w:p w14:paraId="459BAC2A">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12、柱体防腐性能：柱体材料进行盐雾试验，升降地柱柱体耐腐蚀等级≥9级；</w:t>
            </w:r>
          </w:p>
          <w:p w14:paraId="75776E4A">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13、法兰防腐：碳钢件达克罗防腐工艺；</w:t>
            </w:r>
          </w:p>
          <w:p w14:paraId="0FCA6386">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14、预埋高度：825mm</w:t>
            </w:r>
          </w:p>
        </w:tc>
        <w:tc>
          <w:tcPr>
            <w:tcW w:w="289" w:type="pct"/>
            <w:tcBorders>
              <w:tl2br w:val="nil"/>
              <w:tr2bl w:val="nil"/>
            </w:tcBorders>
            <w:noWrap w:val="0"/>
            <w:vAlign w:val="center"/>
          </w:tcPr>
          <w:p w14:paraId="59979488">
            <w:pPr>
              <w:keepNext w:val="0"/>
              <w:keepLines w:val="0"/>
              <w:widowControl/>
              <w:numPr>
                <w:ilvl w:val="0"/>
                <w:numId w:val="0"/>
              </w:numPr>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sz w:val="21"/>
                <w:szCs w:val="21"/>
                <w:lang w:val="en-US" w:eastAsia="zh-CN"/>
              </w:rPr>
              <w:t>根</w:t>
            </w:r>
          </w:p>
        </w:tc>
        <w:tc>
          <w:tcPr>
            <w:tcW w:w="421" w:type="pct"/>
            <w:tcBorders>
              <w:tl2br w:val="nil"/>
              <w:tr2bl w:val="nil"/>
            </w:tcBorders>
            <w:noWrap w:val="0"/>
            <w:vAlign w:val="center"/>
          </w:tcPr>
          <w:p w14:paraId="24FEDA01">
            <w:pPr>
              <w:keepNext w:val="0"/>
              <w:keepLines w:val="0"/>
              <w:widowControl/>
              <w:numPr>
                <w:ilvl w:val="0"/>
                <w:numId w:val="0"/>
              </w:numPr>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827" w:type="pct"/>
            <w:tcBorders>
              <w:tl2br w:val="nil"/>
              <w:tr2bl w:val="nil"/>
            </w:tcBorders>
            <w:noWrap w:val="0"/>
            <w:vAlign w:val="center"/>
          </w:tcPr>
          <w:p w14:paraId="1045AFC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b/>
                <w:bCs/>
                <w:sz w:val="21"/>
                <w:szCs w:val="21"/>
                <w:lang w:val="en-US" w:eastAsia="zh-CN"/>
              </w:rPr>
              <w:drawing>
                <wp:inline distT="0" distB="0" distL="114300" distR="114300">
                  <wp:extent cx="648970" cy="413385"/>
                  <wp:effectExtent l="0" t="0" r="6350" b="13335"/>
                  <wp:docPr id="3" name="图片 3" descr="84b85c15434c8b7f8b219cbb96ccc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84b85c15434c8b7f8b219cbb96ccce7"/>
                          <pic:cNvPicPr>
                            <a:picLocks noChangeAspect="1"/>
                          </pic:cNvPicPr>
                        </pic:nvPicPr>
                        <pic:blipFill>
                          <a:blip r:embed="rId5"/>
                          <a:stretch>
                            <a:fillRect/>
                          </a:stretch>
                        </pic:blipFill>
                        <pic:spPr>
                          <a:xfrm>
                            <a:off x="0" y="0"/>
                            <a:ext cx="648970" cy="413385"/>
                          </a:xfrm>
                          <a:prstGeom prst="rect">
                            <a:avLst/>
                          </a:prstGeom>
                        </pic:spPr>
                      </pic:pic>
                    </a:graphicData>
                  </a:graphic>
                </wp:inline>
              </w:drawing>
            </w:r>
          </w:p>
        </w:tc>
      </w:tr>
      <w:tr w14:paraId="7A4FC5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31" w:hRule="atLeast"/>
          <w:jc w:val="center"/>
        </w:trPr>
        <w:tc>
          <w:tcPr>
            <w:tcW w:w="384" w:type="pct"/>
            <w:tcBorders>
              <w:tl2br w:val="nil"/>
              <w:tr2bl w:val="nil"/>
            </w:tcBorders>
            <w:noWrap w:val="0"/>
            <w:vAlign w:val="center"/>
          </w:tcPr>
          <w:p w14:paraId="6E177749">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685" w:type="pct"/>
            <w:tcBorders>
              <w:tl2br w:val="nil"/>
              <w:tr2bl w:val="nil"/>
            </w:tcBorders>
            <w:noWrap w:val="0"/>
            <w:vAlign w:val="center"/>
          </w:tcPr>
          <w:p w14:paraId="4451049C">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升降柱控制箱</w:t>
            </w:r>
          </w:p>
        </w:tc>
        <w:tc>
          <w:tcPr>
            <w:tcW w:w="2390" w:type="pct"/>
            <w:tcBorders>
              <w:tl2br w:val="nil"/>
              <w:tr2bl w:val="nil"/>
            </w:tcBorders>
            <w:noWrap w:val="0"/>
            <w:vAlign w:val="center"/>
          </w:tcPr>
          <w:p w14:paraId="762B52D4">
            <w:pPr>
              <w:tabs>
                <w:tab w:val="center" w:pos="1512"/>
              </w:tabs>
              <w:spacing w:line="240" w:lineRule="auto"/>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1、材质：室内烤漆材质；</w:t>
            </w:r>
          </w:p>
          <w:p w14:paraId="41A5D8DF">
            <w:pPr>
              <w:tabs>
                <w:tab w:val="center" w:pos="1512"/>
              </w:tabs>
              <w:spacing w:line="240" w:lineRule="auto"/>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2、通道控制：具备单通道和多通道选择控制接口；</w:t>
            </w:r>
          </w:p>
          <w:p w14:paraId="6CC192AD">
            <w:pPr>
              <w:tabs>
                <w:tab w:val="center" w:pos="1512"/>
              </w:tabs>
              <w:spacing w:line="240" w:lineRule="auto"/>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3、控制稳定性：无信号输入，无操作指令，不会输出信号，不会自动运行；</w:t>
            </w:r>
          </w:p>
          <w:p w14:paraId="2F54BD80">
            <w:pPr>
              <w:tabs>
                <w:tab w:val="center" w:pos="1512"/>
              </w:tabs>
              <w:spacing w:line="240" w:lineRule="auto"/>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4、遥控误操作：具备防遥控误操作功能，瞬间点动无效；</w:t>
            </w:r>
          </w:p>
          <w:p w14:paraId="4FDBCE90">
            <w:pPr>
              <w:tabs>
                <w:tab w:val="center" w:pos="1512"/>
              </w:tabs>
              <w:spacing w:line="240" w:lineRule="auto"/>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5、加密要求：采用无线方式控制，采用调频调制；</w:t>
            </w:r>
          </w:p>
          <w:p w14:paraId="206BAF60">
            <w:pPr>
              <w:tabs>
                <w:tab w:val="center" w:pos="1512"/>
              </w:tabs>
              <w:spacing w:line="240" w:lineRule="auto"/>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6、备用电源要求：设备具备EPS备用电源；</w:t>
            </w:r>
          </w:p>
          <w:p w14:paraId="3DF0607C">
            <w:pPr>
              <w:tabs>
                <w:tab w:val="center" w:pos="1512"/>
              </w:tabs>
              <w:spacing w:line="240" w:lineRule="auto"/>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7、运行噪音：小于30分贝；</w:t>
            </w:r>
          </w:p>
          <w:p w14:paraId="4868C3B1">
            <w:pPr>
              <w:tabs>
                <w:tab w:val="center" w:pos="1512"/>
              </w:tabs>
              <w:spacing w:line="240" w:lineRule="auto"/>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8、控制系统：具备门禁系统、车牌识别接口和遥控手柄，遥控距离100米以上（空旷无干扰）；</w:t>
            </w:r>
          </w:p>
          <w:p w14:paraId="1E91AAC5">
            <w:pPr>
              <w:tabs>
                <w:tab w:val="center" w:pos="1512"/>
              </w:tabs>
              <w:spacing w:line="240" w:lineRule="auto"/>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9、控制方式：无线遥控；</w:t>
            </w:r>
          </w:p>
          <w:p w14:paraId="7D62071E">
            <w:pPr>
              <w:tabs>
                <w:tab w:val="center" w:pos="1512"/>
              </w:tabs>
              <w:spacing w:line="240" w:lineRule="auto"/>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10、控制动作：路桩升、降、停开关；</w:t>
            </w:r>
          </w:p>
          <w:p w14:paraId="7FE9D9AC">
            <w:pPr>
              <w:tabs>
                <w:tab w:val="center" w:pos="1512"/>
              </w:tabs>
              <w:spacing w:line="240" w:lineRule="auto"/>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11、安装方式：立式、挂式均可；                                                                                  12、一控12（分6+6），标准含遥控器和应急手动装置；</w:t>
            </w:r>
          </w:p>
        </w:tc>
        <w:tc>
          <w:tcPr>
            <w:tcW w:w="289" w:type="pct"/>
            <w:tcBorders>
              <w:tl2br w:val="nil"/>
              <w:tr2bl w:val="nil"/>
            </w:tcBorders>
            <w:noWrap w:val="0"/>
            <w:vAlign w:val="center"/>
          </w:tcPr>
          <w:p w14:paraId="03C7B36C">
            <w:pPr>
              <w:jc w:val="center"/>
              <w:rPr>
                <w:rFonts w:hint="eastAsia" w:ascii="宋体" w:hAnsi="宋体" w:eastAsia="宋体" w:cs="宋体"/>
                <w:color w:val="auto"/>
                <w:sz w:val="21"/>
                <w:szCs w:val="21"/>
                <w:lang w:val="en-US" w:eastAsia="zh-CN"/>
              </w:rPr>
            </w:pPr>
            <w:r>
              <w:rPr>
                <w:rFonts w:hint="eastAsia" w:ascii="宋体" w:hAnsi="宋体" w:eastAsia="宋体" w:cs="宋体"/>
                <w:sz w:val="21"/>
                <w:szCs w:val="21"/>
                <w:lang w:val="en-US" w:eastAsia="zh-CN"/>
              </w:rPr>
              <w:t>台</w:t>
            </w:r>
          </w:p>
        </w:tc>
        <w:tc>
          <w:tcPr>
            <w:tcW w:w="421" w:type="pct"/>
            <w:tcBorders>
              <w:tl2br w:val="nil"/>
              <w:tr2bl w:val="nil"/>
            </w:tcBorders>
            <w:noWrap w:val="0"/>
            <w:vAlign w:val="center"/>
          </w:tcPr>
          <w:p w14:paraId="6E365410">
            <w:pPr>
              <w:jc w:val="center"/>
              <w:rPr>
                <w:rFonts w:hint="eastAsia" w:ascii="宋体" w:hAnsi="宋体" w:eastAsia="宋体" w:cs="宋体"/>
                <w:color w:val="auto"/>
                <w:sz w:val="21"/>
                <w:szCs w:val="21"/>
                <w:lang w:val="en-US" w:eastAsia="zh-CN"/>
              </w:rPr>
            </w:pPr>
            <w:r>
              <w:rPr>
                <w:rFonts w:hint="eastAsia" w:ascii="宋体" w:hAnsi="宋体" w:eastAsia="宋体" w:cs="宋体"/>
                <w:sz w:val="21"/>
                <w:szCs w:val="21"/>
                <w:lang w:val="en-US" w:eastAsia="zh-CN"/>
              </w:rPr>
              <w:t>2</w:t>
            </w:r>
          </w:p>
        </w:tc>
        <w:tc>
          <w:tcPr>
            <w:tcW w:w="827" w:type="pct"/>
            <w:tcBorders>
              <w:tl2br w:val="nil"/>
              <w:tr2bl w:val="nil"/>
            </w:tcBorders>
            <w:noWrap w:val="0"/>
            <w:vAlign w:val="center"/>
          </w:tcPr>
          <w:p w14:paraId="6CB5C34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sz w:val="21"/>
                <w:szCs w:val="21"/>
                <w:lang w:val="en-US" w:eastAsia="zh-CN"/>
              </w:rPr>
              <w:t>每台控制箱最多可以控制8根升降柱，标配2个遥控</w:t>
            </w:r>
          </w:p>
        </w:tc>
      </w:tr>
      <w:tr w14:paraId="527D21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81" w:hRule="atLeast"/>
          <w:jc w:val="center"/>
        </w:trPr>
        <w:tc>
          <w:tcPr>
            <w:tcW w:w="384" w:type="pct"/>
            <w:tcBorders>
              <w:tl2br w:val="nil"/>
              <w:tr2bl w:val="nil"/>
            </w:tcBorders>
            <w:noWrap w:val="0"/>
            <w:vAlign w:val="center"/>
          </w:tcPr>
          <w:p w14:paraId="28976885">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685" w:type="pct"/>
            <w:tcBorders>
              <w:tl2br w:val="nil"/>
              <w:tr2bl w:val="nil"/>
            </w:tcBorders>
            <w:noWrap w:val="0"/>
            <w:vAlign w:val="center"/>
          </w:tcPr>
          <w:p w14:paraId="36B0E53B">
            <w:pPr>
              <w:keepNext w:val="0"/>
              <w:keepLines w:val="0"/>
              <w:widowControl/>
              <w:suppressLineNumbers w:val="0"/>
              <w:spacing w:line="360" w:lineRule="auto"/>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水泥石墩</w:t>
            </w:r>
          </w:p>
        </w:tc>
        <w:tc>
          <w:tcPr>
            <w:tcW w:w="2390" w:type="pct"/>
            <w:tcBorders>
              <w:tl2br w:val="nil"/>
              <w:tr2bl w:val="nil"/>
            </w:tcBorders>
            <w:noWrap w:val="0"/>
            <w:vAlign w:val="center"/>
          </w:tcPr>
          <w:p w14:paraId="5350D38C">
            <w:pPr>
              <w:tabs>
                <w:tab w:val="center" w:pos="1512"/>
              </w:tabs>
              <w:spacing w:line="240" w:lineRule="auto"/>
              <w:jc w:val="left"/>
              <w:rPr>
                <w:rFonts w:hint="eastAsia" w:ascii="宋体" w:hAnsi="宋体" w:eastAsia="宋体" w:cs="宋体"/>
                <w:i w:val="0"/>
                <w:iCs w:val="0"/>
                <w:color w:val="000000"/>
                <w:sz w:val="21"/>
                <w:szCs w:val="21"/>
                <w:u w:val="none"/>
                <w:lang w:val="en-US"/>
              </w:rPr>
            </w:pPr>
            <w:r>
              <w:rPr>
                <w:rFonts w:hint="eastAsia" w:ascii="宋体" w:hAnsi="宋体" w:eastAsia="宋体" w:cs="宋体"/>
                <w:i w:val="0"/>
                <w:color w:val="auto"/>
                <w:sz w:val="21"/>
                <w:szCs w:val="21"/>
                <w:u w:val="none"/>
                <w:lang w:val="en-US" w:eastAsia="zh-CN"/>
              </w:rPr>
              <w:t>尺寸：1500mm*800mm，重量：800KG，C25混凝土制作</w:t>
            </w:r>
          </w:p>
        </w:tc>
        <w:tc>
          <w:tcPr>
            <w:tcW w:w="289" w:type="pct"/>
            <w:tcBorders>
              <w:tl2br w:val="nil"/>
              <w:tr2bl w:val="nil"/>
            </w:tcBorders>
            <w:noWrap w:val="0"/>
            <w:vAlign w:val="center"/>
          </w:tcPr>
          <w:p w14:paraId="35997635">
            <w:pPr>
              <w:jc w:val="center"/>
              <w:rPr>
                <w:rFonts w:hint="eastAsia" w:ascii="宋体" w:hAnsi="宋体" w:eastAsia="宋体" w:cs="宋体"/>
                <w:color w:val="auto"/>
                <w:sz w:val="21"/>
                <w:szCs w:val="21"/>
                <w:lang w:val="en-US" w:eastAsia="zh-CN"/>
              </w:rPr>
            </w:pPr>
            <w:r>
              <w:rPr>
                <w:rFonts w:hint="eastAsia" w:ascii="宋体" w:hAnsi="宋体" w:eastAsia="宋体" w:cs="宋体"/>
                <w:sz w:val="21"/>
                <w:szCs w:val="21"/>
                <w:lang w:val="en-US" w:eastAsia="zh-CN"/>
              </w:rPr>
              <w:t>个</w:t>
            </w:r>
          </w:p>
        </w:tc>
        <w:tc>
          <w:tcPr>
            <w:tcW w:w="421" w:type="pct"/>
            <w:tcBorders>
              <w:tl2br w:val="nil"/>
              <w:tr2bl w:val="nil"/>
            </w:tcBorders>
            <w:noWrap w:val="0"/>
            <w:vAlign w:val="center"/>
          </w:tcPr>
          <w:p w14:paraId="1A33D831">
            <w:pPr>
              <w:jc w:val="center"/>
              <w:rPr>
                <w:rFonts w:hint="eastAsia" w:ascii="宋体" w:hAnsi="宋体" w:eastAsia="宋体" w:cs="宋体"/>
                <w:color w:val="auto"/>
                <w:sz w:val="21"/>
                <w:szCs w:val="21"/>
                <w:lang w:val="en-US" w:eastAsia="zh-CN"/>
              </w:rPr>
            </w:pPr>
            <w:r>
              <w:rPr>
                <w:rFonts w:hint="eastAsia" w:ascii="宋体" w:hAnsi="宋体" w:eastAsia="宋体" w:cs="宋体"/>
                <w:sz w:val="21"/>
                <w:szCs w:val="21"/>
                <w:lang w:val="en-US" w:eastAsia="zh-CN"/>
              </w:rPr>
              <w:t>13</w:t>
            </w:r>
          </w:p>
        </w:tc>
        <w:tc>
          <w:tcPr>
            <w:tcW w:w="827" w:type="pct"/>
            <w:tcBorders>
              <w:tl2br w:val="nil"/>
              <w:tr2bl w:val="nil"/>
            </w:tcBorders>
            <w:noWrap w:val="0"/>
            <w:vAlign w:val="center"/>
          </w:tcPr>
          <w:p w14:paraId="51B3447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b/>
                <w:bCs/>
                <w:sz w:val="21"/>
                <w:szCs w:val="21"/>
                <w:lang w:val="en-US" w:eastAsia="zh-CN"/>
              </w:rPr>
              <w:drawing>
                <wp:inline distT="0" distB="0" distL="114300" distR="114300">
                  <wp:extent cx="639445" cy="531495"/>
                  <wp:effectExtent l="0" t="0" r="635" b="1905"/>
                  <wp:docPr id="2" name="图片 2" descr="c640a78dae6d6b14201a471986fe5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640a78dae6d6b14201a471986fe59c"/>
                          <pic:cNvPicPr>
                            <a:picLocks noChangeAspect="1"/>
                          </pic:cNvPicPr>
                        </pic:nvPicPr>
                        <pic:blipFill>
                          <a:blip r:embed="rId6"/>
                          <a:stretch>
                            <a:fillRect/>
                          </a:stretch>
                        </pic:blipFill>
                        <pic:spPr>
                          <a:xfrm>
                            <a:off x="0" y="0"/>
                            <a:ext cx="639445" cy="531495"/>
                          </a:xfrm>
                          <a:prstGeom prst="rect">
                            <a:avLst/>
                          </a:prstGeom>
                        </pic:spPr>
                      </pic:pic>
                    </a:graphicData>
                  </a:graphic>
                </wp:inline>
              </w:drawing>
            </w:r>
          </w:p>
        </w:tc>
      </w:tr>
    </w:tbl>
    <w:p w14:paraId="59DA0361">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right="-197"/>
        <w:jc w:val="left"/>
        <w:textAlignment w:val="baseline"/>
        <w:rPr>
          <w:rStyle w:val="11"/>
          <w:rFonts w:hint="eastAsia" w:ascii="宋体" w:hAnsi="宋体" w:eastAsia="宋体" w:cs="宋体"/>
          <w:b w:val="0"/>
          <w:i w:val="0"/>
          <w:caps w:val="0"/>
          <w:color w:val="auto"/>
          <w:spacing w:val="0"/>
          <w:w w:val="100"/>
          <w:kern w:val="2"/>
          <w:sz w:val="21"/>
          <w:szCs w:val="21"/>
          <w:lang w:val="en-US" w:eastAsia="zh-CN" w:bidi="ar-SA"/>
        </w:rPr>
      </w:pPr>
      <w:r>
        <w:rPr>
          <w:rStyle w:val="11"/>
          <w:rFonts w:hint="eastAsia" w:ascii="宋体" w:hAnsi="宋体" w:eastAsia="宋体" w:cs="宋体"/>
          <w:b w:val="0"/>
          <w:i w:val="0"/>
          <w:caps w:val="0"/>
          <w:color w:val="auto"/>
          <w:spacing w:val="0"/>
          <w:w w:val="100"/>
          <w:kern w:val="2"/>
          <w:sz w:val="21"/>
          <w:szCs w:val="21"/>
          <w:lang w:val="en-US" w:eastAsia="zh-CN" w:bidi="ar-SA"/>
        </w:rPr>
        <w:t>注：1．本项目报价不得超出预算金额，报价超出预算金额的列为无效响应处理。</w:t>
      </w:r>
    </w:p>
    <w:p w14:paraId="0A912311">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right="12" w:firstLine="420" w:firstLineChars="200"/>
        <w:jc w:val="left"/>
        <w:textAlignment w:val="baseline"/>
        <w:rPr>
          <w:rStyle w:val="11"/>
          <w:rFonts w:hint="eastAsia" w:ascii="宋体" w:hAnsi="宋体" w:eastAsia="宋体" w:cs="宋体"/>
          <w:b w:val="0"/>
          <w:i w:val="0"/>
          <w:caps w:val="0"/>
          <w:color w:val="auto"/>
          <w:spacing w:val="0"/>
          <w:w w:val="100"/>
          <w:kern w:val="2"/>
          <w:sz w:val="21"/>
          <w:szCs w:val="21"/>
          <w:lang w:val="en-US" w:eastAsia="zh-CN" w:bidi="ar-SA"/>
        </w:rPr>
      </w:pPr>
      <w:r>
        <w:rPr>
          <w:rStyle w:val="11"/>
          <w:rFonts w:hint="eastAsia" w:ascii="宋体" w:hAnsi="宋体" w:eastAsia="宋体" w:cs="宋体"/>
          <w:b w:val="0"/>
          <w:i w:val="0"/>
          <w:caps w:val="0"/>
          <w:color w:val="auto"/>
          <w:spacing w:val="0"/>
          <w:w w:val="100"/>
          <w:kern w:val="2"/>
          <w:sz w:val="21"/>
          <w:szCs w:val="21"/>
          <w:lang w:val="en-US" w:eastAsia="zh-CN" w:bidi="ar-SA"/>
        </w:rPr>
        <w:t>2．</w:t>
      </w:r>
      <w:r>
        <w:rPr>
          <w:rStyle w:val="11"/>
          <w:rFonts w:hint="eastAsia" w:ascii="宋体" w:hAnsi="宋体" w:eastAsia="宋体" w:cs="宋体"/>
          <w:b w:val="0"/>
          <w:i w:val="0"/>
          <w:caps w:val="0"/>
          <w:color w:val="auto"/>
          <w:spacing w:val="0"/>
          <w:w w:val="100"/>
          <w:sz w:val="21"/>
          <w:szCs w:val="21"/>
        </w:rPr>
        <w:t>投标报价应为人民币含税全包价，应包含相关的货物、运输（包括但不限于装卸车、货物搬运等的费用）、保险、</w:t>
      </w:r>
      <w:r>
        <w:rPr>
          <w:rStyle w:val="11"/>
          <w:rFonts w:hint="eastAsia" w:ascii="宋体" w:hAnsi="宋体" w:eastAsia="宋体" w:cs="宋体"/>
          <w:b w:val="0"/>
          <w:i w:val="0"/>
          <w:caps w:val="0"/>
          <w:color w:val="auto"/>
          <w:spacing w:val="0"/>
          <w:w w:val="100"/>
          <w:sz w:val="21"/>
          <w:szCs w:val="21"/>
          <w:lang w:val="en-US" w:eastAsia="zh-CN"/>
        </w:rPr>
        <w:t>安装</w:t>
      </w:r>
      <w:r>
        <w:rPr>
          <w:rStyle w:val="11"/>
          <w:rFonts w:hint="eastAsia" w:ascii="宋体" w:hAnsi="宋体" w:eastAsia="宋体" w:cs="宋体"/>
          <w:b w:val="0"/>
          <w:i w:val="0"/>
          <w:caps w:val="0"/>
          <w:color w:val="auto"/>
          <w:spacing w:val="0"/>
          <w:w w:val="100"/>
          <w:sz w:val="21"/>
          <w:szCs w:val="21"/>
        </w:rPr>
        <w:t>、培训</w:t>
      </w:r>
      <w:r>
        <w:rPr>
          <w:rStyle w:val="11"/>
          <w:rFonts w:hint="eastAsia" w:ascii="宋体" w:hAnsi="宋体" w:eastAsia="宋体" w:cs="宋体"/>
          <w:b w:val="0"/>
          <w:i w:val="0"/>
          <w:caps w:val="0"/>
          <w:color w:val="auto"/>
          <w:spacing w:val="0"/>
          <w:w w:val="100"/>
          <w:sz w:val="21"/>
          <w:szCs w:val="21"/>
          <w:lang w:eastAsia="zh-CN"/>
        </w:rPr>
        <w:t>、</w:t>
      </w:r>
      <w:r>
        <w:rPr>
          <w:rStyle w:val="11"/>
          <w:rFonts w:hint="eastAsia" w:ascii="宋体" w:hAnsi="宋体" w:eastAsia="宋体" w:cs="宋体"/>
          <w:b w:val="0"/>
          <w:i w:val="0"/>
          <w:caps w:val="0"/>
          <w:color w:val="auto"/>
          <w:spacing w:val="0"/>
          <w:w w:val="100"/>
          <w:sz w:val="21"/>
          <w:szCs w:val="21"/>
        </w:rPr>
        <w:t>售后服务、各项税费及质保期内的维护保养费等所有可预见及不可预见的一切费用。</w:t>
      </w:r>
    </w:p>
    <w:p w14:paraId="5AF7E011">
      <w:pPr>
        <w:pStyle w:val="12"/>
        <w:numPr>
          <w:ilvl w:val="0"/>
          <w:numId w:val="0"/>
        </w:numPr>
        <w:spacing w:line="360" w:lineRule="auto"/>
        <w:ind w:leftChars="0" w:firstLine="420" w:firstLineChars="200"/>
        <w:rPr>
          <w:rStyle w:val="11"/>
          <w:rFonts w:hint="eastAsia" w:ascii="宋体" w:hAnsi="宋体" w:eastAsia="宋体" w:cs="宋体"/>
          <w:b w:val="0"/>
          <w:i w:val="0"/>
          <w:caps w:val="0"/>
          <w:color w:val="auto"/>
          <w:spacing w:val="0"/>
          <w:w w:val="100"/>
          <w:sz w:val="21"/>
          <w:szCs w:val="21"/>
        </w:rPr>
      </w:pPr>
      <w:r>
        <w:rPr>
          <w:rStyle w:val="11"/>
          <w:rFonts w:hint="eastAsia" w:ascii="宋体" w:hAnsi="宋体" w:eastAsia="宋体" w:cs="宋体"/>
          <w:b w:val="0"/>
          <w:i w:val="0"/>
          <w:caps w:val="0"/>
          <w:color w:val="auto"/>
          <w:spacing w:val="0"/>
          <w:w w:val="100"/>
          <w:kern w:val="2"/>
          <w:sz w:val="21"/>
          <w:szCs w:val="21"/>
          <w:lang w:val="en-US" w:eastAsia="zh-CN" w:bidi="ar-SA"/>
        </w:rPr>
        <w:t>3．</w:t>
      </w:r>
      <w:r>
        <w:rPr>
          <w:rStyle w:val="11"/>
          <w:rFonts w:hint="eastAsia" w:ascii="宋体" w:hAnsi="宋体" w:eastAsia="宋体" w:cs="宋体"/>
          <w:b w:val="0"/>
          <w:i w:val="0"/>
          <w:caps w:val="0"/>
          <w:color w:val="auto"/>
          <w:spacing w:val="0"/>
          <w:w w:val="100"/>
          <w:sz w:val="21"/>
          <w:szCs w:val="21"/>
        </w:rPr>
        <w:t>响应供应商必须自行考虑在本项目实施期间的一切可能产生的费用，在项目的实施过程中，采购人除了支付合同规定的款项外，一切合同规定外的费用将拒绝支付。</w:t>
      </w:r>
    </w:p>
    <w:p w14:paraId="08DA8E0E">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right="12"/>
        <w:jc w:val="left"/>
        <w:textAlignment w:val="baseline"/>
        <w:rPr>
          <w:rStyle w:val="11"/>
          <w:rFonts w:hint="eastAsia" w:ascii="宋体" w:hAnsi="宋体" w:eastAsia="宋体" w:cs="宋体"/>
          <w:b w:val="0"/>
          <w:i w:val="0"/>
          <w:caps w:val="0"/>
          <w:color w:val="auto"/>
          <w:spacing w:val="0"/>
          <w:w w:val="100"/>
          <w:kern w:val="2"/>
          <w:sz w:val="21"/>
          <w:szCs w:val="21"/>
          <w:lang w:val="en-US" w:eastAsia="zh-CN" w:bidi="ar-SA"/>
        </w:rPr>
      </w:pPr>
    </w:p>
    <w:p w14:paraId="58E0985F">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商务要求</w:t>
      </w:r>
    </w:p>
    <w:p w14:paraId="006AE83C">
      <w:pPr>
        <w:pStyle w:val="14"/>
        <w:numPr>
          <w:ilvl w:val="0"/>
          <w:numId w:val="0"/>
        </w:numPr>
        <w:spacing w:line="360" w:lineRule="auto"/>
        <w:ind w:firstLine="420" w:firstLineChars="200"/>
        <w:outlineLvl w:val="9"/>
        <w:rPr>
          <w:rStyle w:val="11"/>
          <w:rFonts w:hint="eastAsia" w:ascii="宋体" w:hAnsi="宋体" w:eastAsia="宋体" w:cs="宋体"/>
          <w:b w:val="0"/>
          <w:i w:val="0"/>
          <w:caps w:val="0"/>
          <w:color w:val="auto"/>
          <w:spacing w:val="0"/>
          <w:w w:val="100"/>
          <w:sz w:val="21"/>
          <w:szCs w:val="21"/>
          <w:lang w:val="en-US" w:eastAsia="zh-CN"/>
        </w:rPr>
      </w:pPr>
      <w:r>
        <w:rPr>
          <w:rStyle w:val="11"/>
          <w:rFonts w:hint="eastAsia" w:ascii="宋体" w:hAnsi="宋体" w:eastAsia="宋体" w:cs="宋体"/>
          <w:b w:val="0"/>
          <w:i w:val="0"/>
          <w:caps w:val="0"/>
          <w:color w:val="auto"/>
          <w:spacing w:val="0"/>
          <w:w w:val="100"/>
          <w:sz w:val="21"/>
          <w:szCs w:val="21"/>
          <w:lang w:val="en-US" w:eastAsia="zh-CN"/>
        </w:rPr>
        <w:t>（一）交货期：</w:t>
      </w:r>
      <w:bookmarkStart w:id="0" w:name="_Toc25791"/>
      <w:bookmarkStart w:id="1" w:name="_Toc32156"/>
      <w:bookmarkStart w:id="2" w:name="_Toc28873"/>
      <w:r>
        <w:rPr>
          <w:rFonts w:hint="eastAsia" w:ascii="宋体" w:hAnsi="宋体" w:eastAsia="宋体" w:cs="宋体"/>
          <w:color w:val="auto"/>
          <w:sz w:val="21"/>
          <w:szCs w:val="21"/>
          <w:lang w:val="en-US" w:eastAsia="zh-CN"/>
        </w:rPr>
        <w:t>自合同签订后</w:t>
      </w: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val="en-US" w:eastAsia="zh-CN"/>
        </w:rPr>
        <w:t>日内完成项目全部内容的交货、安装、调试及验收</w:t>
      </w:r>
      <w:r>
        <w:rPr>
          <w:rFonts w:hint="eastAsia" w:ascii="宋体" w:hAnsi="宋体" w:cs="宋体"/>
          <w:color w:val="auto"/>
          <w:sz w:val="21"/>
          <w:szCs w:val="21"/>
          <w:lang w:val="en-US" w:eastAsia="zh-CN"/>
        </w:rPr>
        <w:t>。</w:t>
      </w:r>
    </w:p>
    <w:p w14:paraId="306B43AD">
      <w:pPr>
        <w:pStyle w:val="14"/>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lang w:eastAsia="zh-CN"/>
        </w:rPr>
        <w:t>）</w:t>
      </w:r>
      <w:bookmarkEnd w:id="0"/>
      <w:bookmarkEnd w:id="1"/>
      <w:bookmarkEnd w:id="2"/>
      <w:r>
        <w:rPr>
          <w:rFonts w:hint="eastAsia" w:ascii="宋体" w:hAnsi="宋体" w:eastAsia="宋体" w:cs="宋体"/>
          <w:color w:val="auto"/>
          <w:sz w:val="21"/>
          <w:szCs w:val="21"/>
          <w:lang w:val="en-US" w:eastAsia="zh-CN"/>
        </w:rPr>
        <w:t>交货地点：采购人指定地点</w:t>
      </w:r>
    </w:p>
    <w:p w14:paraId="02D9EEE7">
      <w:pPr>
        <w:pStyle w:val="14"/>
        <w:numPr>
          <w:ilvl w:val="0"/>
          <w:numId w:val="0"/>
        </w:numPr>
        <w:spacing w:line="360" w:lineRule="auto"/>
        <w:ind w:left="420" w:leftChars="0"/>
        <w:outlineLvl w:val="9"/>
        <w:rPr>
          <w:rFonts w:hint="eastAsia" w:ascii="宋体" w:hAnsi="宋体" w:eastAsia="宋体" w:cs="宋体"/>
          <w:color w:val="auto"/>
          <w:sz w:val="21"/>
          <w:szCs w:val="21"/>
          <w:lang w:val="en-US" w:eastAsia="zh-CN"/>
        </w:rPr>
      </w:pPr>
      <w:bookmarkStart w:id="3" w:name="_Toc1420"/>
      <w:bookmarkStart w:id="4" w:name="_Toc13181"/>
      <w:bookmarkStart w:id="5" w:name="_Toc9499"/>
      <w:r>
        <w:rPr>
          <w:rFonts w:hint="eastAsia" w:ascii="宋体" w:hAnsi="宋体" w:eastAsia="宋体" w:cs="宋体"/>
          <w:color w:val="auto"/>
          <w:sz w:val="21"/>
          <w:szCs w:val="21"/>
          <w:lang w:val="en-US" w:eastAsia="zh-CN"/>
        </w:rPr>
        <w:t>（三）</w:t>
      </w:r>
      <w:bookmarkEnd w:id="3"/>
      <w:bookmarkEnd w:id="4"/>
      <w:bookmarkEnd w:id="5"/>
      <w:bookmarkStart w:id="6" w:name="_Toc19154"/>
      <w:r>
        <w:rPr>
          <w:rFonts w:hint="eastAsia" w:ascii="宋体" w:hAnsi="宋体" w:eastAsia="宋体" w:cs="宋体"/>
          <w:color w:val="auto"/>
          <w:kern w:val="2"/>
          <w:sz w:val="21"/>
          <w:szCs w:val="21"/>
          <w:lang w:val="en-US" w:eastAsia="zh-CN" w:bidi="ar-SA"/>
        </w:rPr>
        <w:t>保修期</w:t>
      </w:r>
      <w:r>
        <w:rPr>
          <w:rFonts w:hint="eastAsia" w:ascii="宋体" w:hAnsi="宋体" w:eastAsia="宋体" w:cs="宋体"/>
          <w:color w:val="auto"/>
          <w:sz w:val="21"/>
          <w:szCs w:val="21"/>
          <w:lang w:val="en-US" w:eastAsia="zh-CN"/>
        </w:rPr>
        <w:t>及售后服务要求</w:t>
      </w:r>
      <w:bookmarkEnd w:id="6"/>
    </w:p>
    <w:p w14:paraId="433B856E">
      <w:pPr>
        <w:pStyle w:val="14"/>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1.本合同的</w:t>
      </w:r>
      <w:r>
        <w:rPr>
          <w:rFonts w:hint="eastAsia" w:ascii="宋体" w:hAnsi="宋体" w:eastAsia="宋体" w:cs="宋体"/>
          <w:color w:val="auto"/>
          <w:kern w:val="2"/>
          <w:sz w:val="21"/>
          <w:szCs w:val="21"/>
          <w:lang w:val="en-US" w:eastAsia="zh-CN" w:bidi="ar-SA"/>
        </w:rPr>
        <w:t>保修期</w:t>
      </w:r>
      <w:r>
        <w:rPr>
          <w:rFonts w:hint="eastAsia" w:ascii="宋体" w:hAnsi="宋体" w:eastAsia="宋体" w:cs="宋体"/>
          <w:color w:val="auto"/>
          <w:sz w:val="21"/>
          <w:szCs w:val="21"/>
          <w:lang w:val="en-US" w:eastAsia="zh-CN"/>
        </w:rPr>
        <w:t>为3年，</w:t>
      </w:r>
      <w:r>
        <w:rPr>
          <w:rFonts w:hint="eastAsia" w:ascii="宋体" w:hAnsi="宋体" w:eastAsia="宋体" w:cs="宋体"/>
          <w:color w:val="auto"/>
          <w:kern w:val="2"/>
          <w:sz w:val="21"/>
          <w:szCs w:val="21"/>
          <w:lang w:val="en-US" w:eastAsia="zh-CN" w:bidi="ar-SA"/>
        </w:rPr>
        <w:t>保修期</w:t>
      </w:r>
      <w:r>
        <w:rPr>
          <w:rFonts w:hint="eastAsia" w:ascii="宋体" w:hAnsi="宋体" w:eastAsia="宋体" w:cs="宋体"/>
          <w:color w:val="auto"/>
          <w:sz w:val="21"/>
          <w:szCs w:val="21"/>
          <w:lang w:val="en-US" w:eastAsia="zh-CN"/>
        </w:rPr>
        <w:t>内成交供应商对所供货物实行包修、包换、包退及合同约定的其它事项，期满后可同时提供终身(免费/有偿)维修保养服务。</w:t>
      </w:r>
    </w:p>
    <w:p w14:paraId="63C976FE">
      <w:pPr>
        <w:pStyle w:val="14"/>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kern w:val="2"/>
          <w:sz w:val="21"/>
          <w:szCs w:val="21"/>
          <w:lang w:val="en-US" w:eastAsia="zh-CN" w:bidi="ar-SA"/>
        </w:rPr>
        <w:t>保修期</w:t>
      </w:r>
      <w:r>
        <w:rPr>
          <w:rFonts w:hint="eastAsia" w:ascii="宋体" w:hAnsi="宋体" w:eastAsia="宋体" w:cs="宋体"/>
          <w:color w:val="auto"/>
          <w:sz w:val="21"/>
          <w:szCs w:val="21"/>
          <w:lang w:val="en-US" w:eastAsia="zh-CN"/>
        </w:rPr>
        <w:t>，如设备或零部件因质量原因出现故障而造成短期停用时，则</w:t>
      </w:r>
      <w:r>
        <w:rPr>
          <w:rFonts w:hint="eastAsia" w:ascii="宋体" w:hAnsi="宋体" w:eastAsia="宋体" w:cs="宋体"/>
          <w:color w:val="auto"/>
          <w:kern w:val="2"/>
          <w:sz w:val="21"/>
          <w:szCs w:val="21"/>
          <w:lang w:val="en-US" w:eastAsia="zh-CN" w:bidi="ar-SA"/>
        </w:rPr>
        <w:t>保修期</w:t>
      </w:r>
      <w:r>
        <w:rPr>
          <w:rFonts w:hint="eastAsia" w:ascii="宋体" w:hAnsi="宋体" w:eastAsia="宋体" w:cs="宋体"/>
          <w:color w:val="auto"/>
          <w:sz w:val="21"/>
          <w:szCs w:val="21"/>
          <w:lang w:val="en-US" w:eastAsia="zh-CN"/>
        </w:rPr>
        <w:t>和免费维修期相应顺延。如停用时间累计超过10天则</w:t>
      </w:r>
      <w:r>
        <w:rPr>
          <w:rFonts w:hint="eastAsia" w:ascii="宋体" w:hAnsi="宋体" w:eastAsia="宋体" w:cs="宋体"/>
          <w:color w:val="auto"/>
          <w:kern w:val="2"/>
          <w:sz w:val="21"/>
          <w:szCs w:val="21"/>
          <w:lang w:val="en-US" w:eastAsia="zh-CN" w:bidi="ar-SA"/>
        </w:rPr>
        <w:t>保修期</w:t>
      </w:r>
      <w:r>
        <w:rPr>
          <w:rFonts w:hint="eastAsia" w:ascii="宋体" w:hAnsi="宋体" w:eastAsia="宋体" w:cs="宋体"/>
          <w:color w:val="auto"/>
          <w:sz w:val="21"/>
          <w:szCs w:val="21"/>
          <w:lang w:val="en-US" w:eastAsia="zh-CN"/>
        </w:rPr>
        <w:t>重新计算。</w:t>
      </w:r>
    </w:p>
    <w:p w14:paraId="457CDDC8">
      <w:pPr>
        <w:pStyle w:val="14"/>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3.对采购人的服务通知，成交供应商在接报后1小时内响应，4小时内到达现场，48小时内处理完毕。若在48小时内仍未能有效解决，成交供应商须免费提供同档次的设备予采购人临时使用。</w:t>
      </w:r>
    </w:p>
    <w:p w14:paraId="375E3AD8">
      <w:pPr>
        <w:pStyle w:val="14"/>
        <w:numPr>
          <w:ilvl w:val="0"/>
          <w:numId w:val="0"/>
        </w:numPr>
        <w:spacing w:line="360" w:lineRule="auto"/>
        <w:ind w:left="420" w:leftChars="0"/>
        <w:outlineLvl w:val="9"/>
        <w:rPr>
          <w:rFonts w:hint="eastAsia" w:ascii="宋体" w:hAnsi="宋体" w:eastAsia="宋体" w:cs="宋体"/>
          <w:color w:val="auto"/>
          <w:sz w:val="21"/>
          <w:szCs w:val="21"/>
          <w:lang w:val="en-US" w:eastAsia="zh-CN"/>
        </w:rPr>
      </w:pPr>
      <w:bookmarkStart w:id="7" w:name="_Toc30170"/>
      <w:r>
        <w:rPr>
          <w:rFonts w:hint="eastAsia" w:ascii="宋体" w:hAnsi="宋体" w:eastAsia="宋体" w:cs="宋体"/>
          <w:color w:val="auto"/>
          <w:sz w:val="21"/>
          <w:szCs w:val="21"/>
          <w:lang w:val="en-US" w:eastAsia="zh-CN"/>
        </w:rPr>
        <w:t>（四）安装与调试</w:t>
      </w:r>
      <w:bookmarkEnd w:id="7"/>
    </w:p>
    <w:p w14:paraId="0986AC29">
      <w:pPr>
        <w:pStyle w:val="14"/>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1.成交供应商必须依照招标文件的要求和响应文件的承诺，将设备安装并调试至正常运行的最佳状态。</w:t>
      </w:r>
    </w:p>
    <w:p w14:paraId="2F8F588E">
      <w:pPr>
        <w:pStyle w:val="14"/>
        <w:numPr>
          <w:ilvl w:val="0"/>
          <w:numId w:val="0"/>
        </w:numPr>
        <w:spacing w:line="360" w:lineRule="auto"/>
        <w:ind w:left="420" w:leftChars="0"/>
        <w:outlineLvl w:val="9"/>
        <w:rPr>
          <w:rFonts w:hint="eastAsia" w:ascii="宋体" w:hAnsi="宋体" w:eastAsia="宋体" w:cs="宋体"/>
          <w:color w:val="auto"/>
          <w:sz w:val="21"/>
          <w:szCs w:val="21"/>
          <w:lang w:val="en-US" w:eastAsia="zh-CN"/>
        </w:rPr>
      </w:pPr>
      <w:bookmarkStart w:id="8" w:name="_Toc13225"/>
      <w:r>
        <w:rPr>
          <w:rFonts w:hint="eastAsia" w:ascii="宋体" w:hAnsi="宋体" w:eastAsia="宋体" w:cs="宋体"/>
          <w:color w:val="auto"/>
          <w:sz w:val="21"/>
          <w:szCs w:val="21"/>
          <w:lang w:val="en-US" w:eastAsia="zh-CN"/>
        </w:rPr>
        <w:t>（五）验收：</w:t>
      </w:r>
      <w:bookmarkEnd w:id="8"/>
    </w:p>
    <w:p w14:paraId="68857F40">
      <w:pPr>
        <w:pStyle w:val="14"/>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1.交付验收标准依次序对照适用标准为：①符合中华人民共和国国家安全质量标准、环保标准或行业标准；②符合招标文件和响应承诺中采购人认可的合理最佳配置、参数及各项要求；③货物来源国官方标准。</w:t>
      </w:r>
    </w:p>
    <w:p w14:paraId="346BE12C">
      <w:pPr>
        <w:pStyle w:val="14"/>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2.进口产品必须具备原产地证明和商检局的检验证明及合法进货渠道证明。</w:t>
      </w:r>
    </w:p>
    <w:p w14:paraId="1ECB73C2">
      <w:pPr>
        <w:pStyle w:val="14"/>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3.货物为原厂商未启封全新包装，具出厂合格证，序列号、包装箱号与出厂批号一致，并可追索查阅。所有随设备的附件必须齐全。</w:t>
      </w:r>
    </w:p>
    <w:p w14:paraId="6832DC33">
      <w:pPr>
        <w:pStyle w:val="14"/>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4.成交供应商应将关键主要设备的用户手册、保修手册、有关单证资料及配备件、随机工具等交付给采购人，使用操作及安全须知等重要资料应附有中文说明。</w:t>
      </w:r>
    </w:p>
    <w:p w14:paraId="3EBACCC9">
      <w:p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p w14:paraId="635B3EF9">
      <w:pPr>
        <w:keepNext w:val="0"/>
        <w:keepLines w:val="0"/>
        <w:pageBreakBefore w:val="0"/>
        <w:tabs>
          <w:tab w:val="left" w:pos="620"/>
        </w:tabs>
        <w:kinsoku/>
        <w:wordWrap/>
        <w:overflowPunct w:val="0"/>
        <w:topLinePunct/>
        <w:bidi w:val="0"/>
        <w:spacing w:line="500" w:lineRule="exact"/>
        <w:ind w:firstLine="420" w:firstLineChars="200"/>
        <w:rPr>
          <w:rFonts w:hint="eastAsia" w:ascii="宋体" w:hAnsi="宋体" w:eastAsia="宋体" w:cs="宋体"/>
          <w:color w:val="FF0000"/>
          <w:spacing w:val="0"/>
          <w:w w:val="100"/>
          <w:sz w:val="21"/>
          <w:szCs w:val="21"/>
          <w:lang w:val="zh-CN"/>
        </w:rPr>
      </w:pPr>
      <w:r>
        <w:rPr>
          <w:rFonts w:hint="eastAsia" w:ascii="宋体" w:hAnsi="宋体" w:eastAsia="宋体" w:cs="宋体"/>
          <w:color w:val="auto"/>
          <w:sz w:val="21"/>
          <w:szCs w:val="21"/>
          <w:lang w:val="en-US" w:eastAsia="zh-CN"/>
        </w:rPr>
        <w:t>（六）付款方式：</w:t>
      </w:r>
      <w:r>
        <w:rPr>
          <w:rFonts w:hint="eastAsia" w:ascii="宋体" w:hAnsi="宋体" w:eastAsia="宋体" w:cs="宋体"/>
          <w:i w:val="0"/>
          <w:color w:val="auto"/>
          <w:sz w:val="21"/>
          <w:szCs w:val="21"/>
          <w:u w:val="none"/>
          <w:lang w:val="en-US" w:eastAsia="zh-CN"/>
        </w:rPr>
        <w:t>验收合格后</w:t>
      </w:r>
      <w:r>
        <w:rPr>
          <w:rFonts w:hint="eastAsia" w:ascii="宋体" w:hAnsi="宋体" w:eastAsia="宋体" w:cs="宋体"/>
          <w:i w:val="0"/>
          <w:color w:val="auto"/>
          <w:sz w:val="21"/>
          <w:szCs w:val="21"/>
          <w:u w:val="none"/>
          <w:lang w:val="zh-CN" w:eastAsia="zh-CN"/>
        </w:rPr>
        <w:t>成交</w:t>
      </w:r>
      <w:r>
        <w:rPr>
          <w:rFonts w:hint="eastAsia" w:ascii="宋体" w:hAnsi="宋体" w:eastAsia="宋体" w:cs="宋体"/>
          <w:i w:val="0"/>
          <w:color w:val="auto"/>
          <w:sz w:val="21"/>
          <w:szCs w:val="21"/>
          <w:u w:val="none"/>
          <w:lang w:val="en-US" w:eastAsia="zh-CN"/>
        </w:rPr>
        <w:t>供应</w:t>
      </w:r>
      <w:r>
        <w:rPr>
          <w:rFonts w:hint="eastAsia" w:ascii="宋体" w:hAnsi="宋体" w:eastAsia="宋体" w:cs="宋体"/>
          <w:i w:val="0"/>
          <w:color w:val="auto"/>
          <w:sz w:val="21"/>
          <w:szCs w:val="21"/>
          <w:u w:val="none"/>
          <w:lang w:val="zh-CN" w:eastAsia="zh-CN"/>
        </w:rPr>
        <w:t>商开具的正式发票，</w:t>
      </w:r>
      <w:r>
        <w:rPr>
          <w:rFonts w:hint="eastAsia" w:ascii="宋体" w:hAnsi="宋体" w:eastAsia="宋体" w:cs="宋体"/>
          <w:i w:val="0"/>
          <w:color w:val="auto"/>
          <w:sz w:val="21"/>
          <w:szCs w:val="21"/>
          <w:u w:val="none"/>
          <w:lang w:val="en-US" w:eastAsia="zh-CN"/>
        </w:rPr>
        <w:t>采购人在15个工作日支付全部款项。</w:t>
      </w:r>
      <w:r>
        <w:rPr>
          <w:rFonts w:hint="eastAsia" w:ascii="宋体" w:hAnsi="宋体" w:eastAsia="宋体" w:cs="宋体"/>
          <w:i w:val="0"/>
          <w:color w:val="auto"/>
          <w:sz w:val="21"/>
          <w:szCs w:val="21"/>
          <w:u w:val="none"/>
          <w:lang w:val="zh-CN" w:eastAsia="zh-CN"/>
        </w:rPr>
        <w:t xml:space="preserve">因采购人使用的是财政资金，采购人在前款规定的付款时间为向政府采购支付部门提出办理财政支付申请手续的时间（不含政府财政支付部门审核的时间），在规定时间内提出支付申请手续后即视为采购人已经按期支付。 </w:t>
      </w:r>
    </w:p>
    <w:p w14:paraId="36036029">
      <w:pPr>
        <w:pStyle w:val="7"/>
        <w:spacing w:line="360" w:lineRule="auto"/>
        <w:ind w:left="0" w:leftChars="0" w:firstLine="420" w:firstLineChars="200"/>
        <w:rPr>
          <w:rFonts w:hint="eastAsia" w:ascii="宋体" w:hAnsi="宋体" w:eastAsia="宋体" w:cs="宋体"/>
          <w:color w:val="auto"/>
          <w:sz w:val="21"/>
          <w:szCs w:val="21"/>
          <w:lang w:val="en-US" w:eastAsia="zh-CN"/>
        </w:rPr>
      </w:pPr>
    </w:p>
    <w:p w14:paraId="5861C133">
      <w:pPr>
        <w:numPr>
          <w:ilvl w:val="0"/>
          <w:numId w:val="0"/>
        </w:numPr>
        <w:spacing w:line="360" w:lineRule="auto"/>
        <w:rPr>
          <w:rFonts w:hint="eastAsia" w:ascii="宋体" w:hAnsi="宋体" w:eastAsia="宋体" w:cs="宋体"/>
          <w:b/>
          <w:bCs/>
          <w:color w:val="auto"/>
          <w:sz w:val="21"/>
          <w:szCs w:val="21"/>
          <w:lang w:val="en-US" w:eastAsia="zh-CN"/>
        </w:rPr>
      </w:pPr>
    </w:p>
    <w:p w14:paraId="0FCBD976">
      <w:pPr>
        <w:rPr>
          <w:rFonts w:hint="eastAsia" w:ascii="宋体" w:hAnsi="宋体" w:eastAsia="宋体" w:cs="宋体"/>
          <w:sz w:val="21"/>
          <w:szCs w:val="21"/>
        </w:rPr>
      </w:pPr>
      <w:bookmarkStart w:id="9" w:name="_GoBack"/>
      <w:bookmarkEnd w:id="9"/>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07C0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BC23E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BC23E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jMDcyYjIwNWE0NWZjMTlmNjFiZDczMTNmYjU2ZjQifQ=="/>
  </w:docVars>
  <w:rsids>
    <w:rsidRoot w:val="34147566"/>
    <w:rsid w:val="0A14471A"/>
    <w:rsid w:val="1CE13FEE"/>
    <w:rsid w:val="1E4B0792"/>
    <w:rsid w:val="21665B14"/>
    <w:rsid w:val="25822804"/>
    <w:rsid w:val="297200E0"/>
    <w:rsid w:val="2DA56734"/>
    <w:rsid w:val="322D4B31"/>
    <w:rsid w:val="33C159FE"/>
    <w:rsid w:val="34147566"/>
    <w:rsid w:val="3CCD7657"/>
    <w:rsid w:val="48040237"/>
    <w:rsid w:val="495555C6"/>
    <w:rsid w:val="49DA3E1B"/>
    <w:rsid w:val="4E5300F8"/>
    <w:rsid w:val="532615BC"/>
    <w:rsid w:val="549C78B2"/>
    <w:rsid w:val="5DDE25A3"/>
    <w:rsid w:val="5EF66329"/>
    <w:rsid w:val="69AF0EE7"/>
    <w:rsid w:val="6E021E51"/>
    <w:rsid w:val="6F8B25A1"/>
    <w:rsid w:val="72601471"/>
    <w:rsid w:val="7DBF4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beforeAutospacing="0" w:after="290" w:afterLines="0" w:afterAutospacing="0" w:line="240" w:lineRule="auto"/>
      <w:outlineLvl w:val="3"/>
    </w:pPr>
    <w:rPr>
      <w:rFonts w:ascii="Times New Roman" w:hAnsi="Times New Roman"/>
      <w:b/>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7">
    <w:name w:val="Body Text First Indent 2"/>
    <w:basedOn w:val="3"/>
    <w:unhideWhenUsed/>
    <w:qFormat/>
    <w:uiPriority w:val="99"/>
    <w:pPr>
      <w:ind w:firstLine="42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NormalCharacter"/>
    <w:semiHidden/>
    <w:qFormat/>
    <w:uiPriority w:val="0"/>
    <w:rPr>
      <w:rFonts w:ascii="Calibri" w:hAnsi="Calibri"/>
      <w:kern w:val="2"/>
      <w:sz w:val="21"/>
      <w:szCs w:val="24"/>
      <w:lang w:val="en-US" w:eastAsia="zh-CN" w:bidi="ar-SA"/>
    </w:rPr>
  </w:style>
  <w:style w:type="paragraph" w:customStyle="1" w:styleId="12">
    <w:name w:val="正文正"/>
    <w:basedOn w:val="13"/>
    <w:qFormat/>
    <w:uiPriority w:val="0"/>
    <w:pPr>
      <w:spacing w:line="560" w:lineRule="exact"/>
      <w:ind w:firstLine="561"/>
    </w:pPr>
    <w:rPr>
      <w:rFonts w:ascii="Calibri" w:hAnsi="Calibri"/>
      <w:sz w:val="28"/>
      <w:szCs w:val="24"/>
    </w:rPr>
  </w:style>
  <w:style w:type="paragraph" w:customStyle="1" w:styleId="13">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14">
    <w:name w:val="Normal Indent"/>
    <w:basedOn w:val="15"/>
    <w:qFormat/>
    <w:uiPriority w:val="0"/>
    <w:pPr>
      <w:widowControl/>
      <w:ind w:firstLine="420"/>
      <w:jc w:val="left"/>
    </w:pPr>
    <w:rPr>
      <w:rFonts w:ascii="Times New Roman" w:hAnsi="Times New Roman"/>
      <w:kern w:val="0"/>
      <w:szCs w:val="20"/>
    </w:rPr>
  </w:style>
  <w:style w:type="paragraph" w:customStyle="1" w:styleId="15">
    <w:name w:val="正文 New"/>
    <w:next w:val="14"/>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2204</Words>
  <Characters>2327</Characters>
  <Lines>0</Lines>
  <Paragraphs>0</Paragraphs>
  <TotalTime>8</TotalTime>
  <ScaleCrop>false</ScaleCrop>
  <LinksUpToDate>false</LinksUpToDate>
  <CharactersWithSpaces>2426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2024-08-14T01:05:00Z</dcterms:created>
  <dc:creator>Daishaoc</dc:creator>
  <cp:lastModifiedBy>Daishaoc</cp:lastModifiedBy>
  <cp:lastPrinted>2025-01-02T01:30:00Z</cp:lastPrinted>
  <dcterms:modified xsi:type="dcterms:W3CDTF">2025-01-02T09:31:52Z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955FCA7C188840EEBA51D541F3A68C47_13</vt:lpwstr>
  </property>
  <property fmtid="{D5CDD505-2E9C-101B-9397-08002B2CF9AE}" pid="4" name="KSOTemplateDocerSaveRecord">
    <vt:lpwstr>eyJoZGlkIjoiZmRjMDcyYjIwNWE0NWZjMTlmNjFiZDczMTNmYjU2ZjQiLCJ1c2VySWQiOiI2NTU3NzExNTAifQ==</vt:lpwstr>
  </property>
</Properties>
</file>