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b/>
          <w:bCs/>
          <w:color w:val="auto"/>
          <w:sz w:val="32"/>
          <w:szCs w:val="32"/>
          <w:lang w:val="en-US" w:eastAsia="zh-CN"/>
        </w:rPr>
      </w:pPr>
      <w:bookmarkStart w:id="9" w:name="_GoBack"/>
      <w:r>
        <w:rPr>
          <w:rFonts w:hint="eastAsia"/>
          <w:b/>
          <w:bCs/>
          <w:color w:val="auto"/>
          <w:sz w:val="32"/>
          <w:szCs w:val="32"/>
          <w:lang w:val="en-US" w:eastAsia="zh-CN"/>
        </w:rPr>
        <w:t>韶关市乳源公路养护中心购置撒布机项目</w:t>
      </w:r>
    </w:p>
    <w:p>
      <w:pPr>
        <w:spacing w:line="240" w:lineRule="auto"/>
        <w:jc w:val="center"/>
        <w:rPr>
          <w:rFonts w:hint="default"/>
          <w:b/>
          <w:bCs/>
          <w:color w:val="auto"/>
          <w:sz w:val="32"/>
          <w:szCs w:val="32"/>
          <w:lang w:val="en-US" w:eastAsia="zh-CN"/>
        </w:rPr>
      </w:pPr>
      <w:r>
        <w:rPr>
          <w:rFonts w:hint="eastAsia"/>
          <w:b/>
          <w:bCs/>
          <w:color w:val="auto"/>
          <w:sz w:val="32"/>
          <w:szCs w:val="32"/>
          <w:lang w:val="en-US" w:eastAsia="zh-CN"/>
        </w:rPr>
        <w:t>采购需求</w:t>
      </w:r>
    </w:p>
    <w:bookmarkEnd w:id="9"/>
    <w:p>
      <w:pPr>
        <w:rPr>
          <w:color w:val="auto"/>
        </w:rPr>
      </w:pPr>
    </w:p>
    <w:p>
      <w:pPr>
        <w:numPr>
          <w:ilvl w:val="0"/>
          <w:numId w:val="0"/>
        </w:numPr>
        <w:spacing w:line="24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kern w:val="2"/>
          <w:sz w:val="21"/>
          <w:szCs w:val="21"/>
          <w:lang w:val="en-US" w:eastAsia="zh-CN" w:bidi="ar-SA"/>
        </w:rPr>
        <w:t>一、</w:t>
      </w:r>
      <w:r>
        <w:rPr>
          <w:rFonts w:hint="eastAsia" w:ascii="宋体" w:hAnsi="宋体" w:eastAsia="宋体" w:cs="宋体"/>
          <w:b/>
          <w:bCs/>
          <w:color w:val="auto"/>
          <w:sz w:val="21"/>
          <w:szCs w:val="21"/>
          <w:lang w:val="en-US" w:eastAsia="zh-CN"/>
        </w:rPr>
        <w:t>采购项目技术规格、参数及其他要求</w:t>
      </w:r>
    </w:p>
    <w:p>
      <w:pPr>
        <w:pStyle w:val="7"/>
        <w:numPr>
          <w:ilvl w:val="0"/>
          <w:numId w:val="0"/>
        </w:numPr>
        <w:spacing w:line="240" w:lineRule="auto"/>
        <w:ind w:firstLine="561" w:firstLineChars="0"/>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lang w:val="en-US" w:eastAsia="zh-CN"/>
        </w:rPr>
        <w:t>采购需求一览表</w:t>
      </w:r>
    </w:p>
    <w:tbl>
      <w:tblPr>
        <w:tblStyle w:val="5"/>
        <w:tblW w:w="4998" w:type="pct"/>
        <w:jc w:val="center"/>
        <w:tblLayout w:type="autofit"/>
        <w:tblCellMar>
          <w:top w:w="0" w:type="dxa"/>
          <w:left w:w="0" w:type="dxa"/>
          <w:bottom w:w="0" w:type="dxa"/>
          <w:right w:w="0" w:type="dxa"/>
        </w:tblCellMar>
      </w:tblPr>
      <w:tblGrid>
        <w:gridCol w:w="665"/>
        <w:gridCol w:w="2116"/>
        <w:gridCol w:w="789"/>
        <w:gridCol w:w="1300"/>
        <w:gridCol w:w="2099"/>
        <w:gridCol w:w="1364"/>
      </w:tblGrid>
      <w:tr>
        <w:tblPrEx>
          <w:tblCellMar>
            <w:top w:w="0" w:type="dxa"/>
            <w:left w:w="0" w:type="dxa"/>
            <w:bottom w:w="0" w:type="dxa"/>
            <w:right w:w="0" w:type="dxa"/>
          </w:tblCellMar>
        </w:tblPrEx>
        <w:trPr>
          <w:trHeight w:val="788" w:hRule="atLeast"/>
          <w:jc w:val="center"/>
        </w:trPr>
        <w:tc>
          <w:tcPr>
            <w:tcW w:w="3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序号</w:t>
            </w:r>
          </w:p>
        </w:tc>
        <w:tc>
          <w:tcPr>
            <w:tcW w:w="126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21"/>
                <w:szCs w:val="21"/>
                <w:u w:val="none"/>
                <w:lang w:val="en-US"/>
              </w:rPr>
            </w:pPr>
            <w:r>
              <w:rPr>
                <w:rFonts w:hint="eastAsia" w:ascii="宋体" w:hAnsi="宋体" w:eastAsia="宋体" w:cs="宋体"/>
                <w:i w:val="0"/>
                <w:color w:val="auto"/>
                <w:kern w:val="0"/>
                <w:sz w:val="21"/>
                <w:szCs w:val="21"/>
                <w:u w:val="none"/>
                <w:lang w:val="en-US" w:eastAsia="zh-CN" w:bidi="ar"/>
              </w:rPr>
              <w:t>采购内容</w:t>
            </w:r>
          </w:p>
        </w:tc>
        <w:tc>
          <w:tcPr>
            <w:tcW w:w="47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数量</w:t>
            </w:r>
          </w:p>
        </w:tc>
        <w:tc>
          <w:tcPr>
            <w:tcW w:w="78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sz w:val="21"/>
                <w:szCs w:val="21"/>
                <w:u w:val="none"/>
                <w:lang w:val="en-US" w:eastAsia="zh-CN"/>
              </w:rPr>
              <w:t>技术需求</w:t>
            </w:r>
          </w:p>
        </w:tc>
        <w:tc>
          <w:tcPr>
            <w:tcW w:w="125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sz w:val="21"/>
                <w:szCs w:val="21"/>
                <w:u w:val="none"/>
                <w:lang w:val="en-US" w:eastAsia="zh-CN"/>
              </w:rPr>
              <w:t>交货期</w:t>
            </w:r>
          </w:p>
        </w:tc>
        <w:tc>
          <w:tcPr>
            <w:tcW w:w="81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sz w:val="21"/>
                <w:szCs w:val="21"/>
                <w:u w:val="none"/>
                <w:lang w:val="en-US" w:eastAsia="zh-CN"/>
              </w:rPr>
              <w:t>预算金额</w:t>
            </w:r>
          </w:p>
        </w:tc>
      </w:tr>
      <w:tr>
        <w:tblPrEx>
          <w:tblCellMar>
            <w:top w:w="0" w:type="dxa"/>
            <w:left w:w="0" w:type="dxa"/>
            <w:bottom w:w="0" w:type="dxa"/>
            <w:right w:w="0" w:type="dxa"/>
          </w:tblCellMar>
        </w:tblPrEx>
        <w:trPr>
          <w:trHeight w:val="1380" w:hRule="atLeast"/>
          <w:jc w:val="center"/>
        </w:trPr>
        <w:tc>
          <w:tcPr>
            <w:tcW w:w="3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w:t>
            </w:r>
          </w:p>
        </w:tc>
        <w:tc>
          <w:tcPr>
            <w:tcW w:w="126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韶关市乳源公路养护中心购置撒布机项目</w:t>
            </w:r>
          </w:p>
        </w:tc>
        <w:tc>
          <w:tcPr>
            <w:tcW w:w="47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1项</w:t>
            </w:r>
          </w:p>
        </w:tc>
        <w:tc>
          <w:tcPr>
            <w:tcW w:w="78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详见</w:t>
            </w:r>
            <w:r>
              <w:rPr>
                <w:rFonts w:hint="eastAsia" w:ascii="宋体" w:hAnsi="宋体" w:eastAsia="宋体" w:cs="宋体"/>
                <w:color w:val="auto"/>
                <w:sz w:val="21"/>
                <w:szCs w:val="21"/>
                <w:lang w:val="en-US" w:eastAsia="zh-CN"/>
              </w:rPr>
              <w:t>2、采购标的清单、技术规格及参数</w:t>
            </w:r>
          </w:p>
        </w:tc>
        <w:tc>
          <w:tcPr>
            <w:tcW w:w="125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自合同签订之日起30个日历天内交货、安装完毕并通过验收</w:t>
            </w:r>
          </w:p>
        </w:tc>
        <w:tc>
          <w:tcPr>
            <w:tcW w:w="81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pStyle w:val="7"/>
              <w:ind w:left="0" w:leftChars="0" w:firstLine="0" w:firstLineChars="0"/>
              <w:jc w:val="center"/>
              <w:rPr>
                <w:rFonts w:hint="eastAsia"/>
                <w:color w:val="auto"/>
                <w:lang w:val="en-US" w:eastAsia="zh-CN"/>
              </w:rPr>
            </w:pPr>
            <w:r>
              <w:rPr>
                <w:rFonts w:hint="eastAsia" w:ascii="宋体" w:hAnsi="宋体" w:eastAsia="宋体" w:cs="宋体"/>
                <w:i w:val="0"/>
                <w:color w:val="auto"/>
                <w:kern w:val="2"/>
                <w:sz w:val="21"/>
                <w:szCs w:val="21"/>
                <w:u w:val="none"/>
                <w:lang w:val="en-US" w:eastAsia="zh-CN" w:bidi="ar-SA"/>
              </w:rPr>
              <w:t>￥</w:t>
            </w:r>
            <w:r>
              <w:rPr>
                <w:rFonts w:hint="eastAsia" w:ascii="宋体" w:hAnsi="宋体" w:cs="宋体"/>
                <w:i w:val="0"/>
                <w:color w:val="auto"/>
                <w:kern w:val="2"/>
                <w:sz w:val="21"/>
                <w:szCs w:val="21"/>
                <w:u w:val="none"/>
                <w:lang w:val="en-US" w:eastAsia="zh-CN" w:bidi="ar-SA"/>
              </w:rPr>
              <w:t>90</w:t>
            </w:r>
            <w:r>
              <w:rPr>
                <w:rFonts w:hint="eastAsia" w:ascii="宋体" w:hAnsi="宋体" w:eastAsia="宋体" w:cs="宋体"/>
                <w:i w:val="0"/>
                <w:color w:val="auto"/>
                <w:kern w:val="2"/>
                <w:sz w:val="21"/>
                <w:szCs w:val="21"/>
                <w:u w:val="none"/>
                <w:lang w:val="en-US" w:eastAsia="zh-CN" w:bidi="ar-SA"/>
              </w:rPr>
              <w:t>,000.00</w:t>
            </w:r>
          </w:p>
        </w:tc>
      </w:tr>
    </w:tbl>
    <w:p>
      <w:pPr>
        <w:pStyle w:val="7"/>
        <w:numPr>
          <w:ilvl w:val="0"/>
          <w:numId w:val="0"/>
        </w:numPr>
        <w:spacing w:line="240" w:lineRule="auto"/>
        <w:ind w:firstLine="561" w:firstLineChars="0"/>
        <w:rPr>
          <w:rFonts w:hint="eastAsia" w:ascii="宋体" w:hAnsi="宋体" w:eastAsia="宋体" w:cs="宋体"/>
          <w:color w:val="auto"/>
          <w:kern w:val="2"/>
          <w:sz w:val="21"/>
          <w:szCs w:val="21"/>
          <w:lang w:val="en-US" w:eastAsia="zh-CN" w:bidi="ar-SA"/>
        </w:rPr>
      </w:pPr>
    </w:p>
    <w:p>
      <w:pPr>
        <w:pStyle w:val="7"/>
        <w:numPr>
          <w:ilvl w:val="0"/>
          <w:numId w:val="0"/>
        </w:numPr>
        <w:spacing w:line="240" w:lineRule="auto"/>
        <w:ind w:firstLine="561" w:firstLineChars="0"/>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val="en-US" w:eastAsia="zh-CN"/>
        </w:rPr>
        <w:t>采购标的清单、技术规格及参数</w:t>
      </w:r>
    </w:p>
    <w:tbl>
      <w:tblPr>
        <w:tblStyle w:val="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4"/>
        <w:gridCol w:w="1119"/>
        <w:gridCol w:w="4367"/>
        <w:gridCol w:w="665"/>
        <w:gridCol w:w="672"/>
        <w:gridCol w:w="10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序号</w:t>
            </w:r>
          </w:p>
        </w:tc>
        <w:tc>
          <w:tcPr>
            <w:tcW w:w="6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产品名称</w:t>
            </w:r>
          </w:p>
        </w:tc>
        <w:tc>
          <w:tcPr>
            <w:tcW w:w="256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主要技术参数</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数量</w:t>
            </w: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单位</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cs="宋体"/>
                <w:i w:val="0"/>
                <w:iCs w:val="0"/>
                <w:color w:val="auto"/>
                <w:sz w:val="21"/>
                <w:szCs w:val="21"/>
                <w:u w:val="none"/>
                <w:lang w:val="en-US" w:eastAsia="zh-CN"/>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39" w:hRule="atLeast"/>
        </w:trPr>
        <w:tc>
          <w:tcPr>
            <w:tcW w:w="3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撒布机</w:t>
            </w:r>
          </w:p>
        </w:tc>
        <w:tc>
          <w:tcPr>
            <w:tcW w:w="2561" w:type="pct"/>
            <w:tcBorders>
              <w:top w:val="single" w:color="000000" w:sz="4" w:space="0"/>
              <w:left w:val="single" w:color="000000" w:sz="4" w:space="0"/>
              <w:bottom w:val="single" w:color="000000" w:sz="4" w:space="0"/>
              <w:right w:val="single" w:color="000000" w:sz="4" w:space="0"/>
            </w:tcBorders>
            <w:noWrap w:val="0"/>
            <w:vAlign w:val="center"/>
          </w:tcPr>
          <w:p>
            <w:pPr>
              <w:pStyle w:val="8"/>
              <w:numPr>
                <w:ilvl w:val="0"/>
                <w:numId w:val="0"/>
              </w:numPr>
              <w:spacing w:line="240" w:lineRule="auto"/>
              <w:outlineLvl w:val="9"/>
              <w:rPr>
                <w:rFonts w:hint="eastAsia" w:ascii="宋体" w:hAnsi="宋体" w:eastAsia="宋体" w:cs="宋体"/>
                <w:color w:val="auto"/>
                <w:sz w:val="21"/>
                <w:szCs w:val="21"/>
                <w:lang w:val="en-US" w:eastAsia="zh-CN"/>
              </w:rPr>
            </w:pPr>
            <w:r>
              <w:rPr>
                <w:rFonts w:hint="default" w:ascii="宋体" w:hAnsi="宋体" w:eastAsia="宋体" w:cs="宋体"/>
                <w:color w:val="auto"/>
                <w:sz w:val="21"/>
                <w:szCs w:val="21"/>
                <w:lang w:val="en-US" w:eastAsia="zh-CN"/>
              </w:rPr>
              <w:t>1.</w:t>
            </w:r>
            <w:r>
              <w:rPr>
                <w:rFonts w:hint="eastAsia" w:ascii="宋体" w:hAnsi="宋体" w:eastAsia="宋体" w:cs="宋体"/>
                <w:color w:val="auto"/>
                <w:sz w:val="21"/>
                <w:szCs w:val="21"/>
                <w:lang w:val="en-US" w:eastAsia="zh-CN"/>
              </w:rPr>
              <w:t>容量：0.304立方米（390.1公斤）</w:t>
            </w:r>
          </w:p>
          <w:p>
            <w:pPr>
              <w:pStyle w:val="8"/>
              <w:numPr>
                <w:ilvl w:val="0"/>
                <w:numId w:val="0"/>
              </w:numPr>
              <w:spacing w:line="240" w:lineRule="auto"/>
              <w:outlineLvl w:val="9"/>
              <w:rPr>
                <w:rFonts w:hint="eastAsia" w:ascii="宋体" w:hAnsi="宋体" w:eastAsia="宋体" w:cs="宋体"/>
                <w:color w:val="auto"/>
                <w:sz w:val="21"/>
                <w:szCs w:val="21"/>
                <w:lang w:val="en-US" w:eastAsia="zh-CN"/>
              </w:rPr>
            </w:pPr>
            <w:r>
              <w:rPr>
                <w:rFonts w:hint="default" w:ascii="宋体" w:hAnsi="宋体" w:eastAsia="宋体" w:cs="宋体"/>
                <w:color w:val="auto"/>
                <w:sz w:val="21"/>
                <w:szCs w:val="21"/>
                <w:lang w:val="en-US" w:eastAsia="zh-CN"/>
              </w:rPr>
              <w:t>2.</w:t>
            </w:r>
            <w:r>
              <w:rPr>
                <w:rFonts w:hint="eastAsia" w:ascii="宋体" w:hAnsi="宋体" w:eastAsia="宋体" w:cs="宋体"/>
                <w:color w:val="auto"/>
                <w:sz w:val="21"/>
                <w:szCs w:val="21"/>
                <w:lang w:val="en-US" w:eastAsia="zh-CN"/>
              </w:rPr>
              <w:t>料斗结构：聚合材质</w:t>
            </w:r>
          </w:p>
          <w:p>
            <w:pPr>
              <w:pStyle w:val="8"/>
              <w:numPr>
                <w:ilvl w:val="0"/>
                <w:numId w:val="0"/>
              </w:numPr>
              <w:spacing w:line="240" w:lineRule="auto"/>
              <w:outlineLvl w:val="9"/>
              <w:rPr>
                <w:rFonts w:hint="eastAsia" w:ascii="宋体" w:hAnsi="宋体" w:eastAsia="宋体" w:cs="宋体"/>
                <w:color w:val="auto"/>
                <w:sz w:val="21"/>
                <w:szCs w:val="21"/>
                <w:lang w:val="en-US" w:eastAsia="zh-CN"/>
              </w:rPr>
            </w:pPr>
            <w:r>
              <w:rPr>
                <w:rFonts w:hint="default" w:ascii="宋体" w:hAnsi="宋体" w:eastAsia="宋体" w:cs="宋体"/>
                <w:color w:val="auto"/>
                <w:sz w:val="21"/>
                <w:szCs w:val="21"/>
                <w:lang w:val="en-US" w:eastAsia="zh-CN"/>
              </w:rPr>
              <w:t>3.</w:t>
            </w:r>
            <w:r>
              <w:rPr>
                <w:rFonts w:hint="eastAsia" w:ascii="宋体" w:hAnsi="宋体" w:eastAsia="宋体" w:cs="宋体"/>
                <w:color w:val="auto"/>
                <w:sz w:val="21"/>
                <w:szCs w:val="21"/>
                <w:lang w:val="en-US" w:eastAsia="zh-CN"/>
              </w:rPr>
              <w:t>整体尺寸：53.5x101.6x132.1cm（长×高×宽）</w:t>
            </w:r>
          </w:p>
          <w:p>
            <w:pPr>
              <w:pStyle w:val="8"/>
              <w:numPr>
                <w:ilvl w:val="0"/>
                <w:numId w:val="0"/>
              </w:numPr>
              <w:spacing w:line="240" w:lineRule="auto"/>
              <w:outlineLvl w:val="9"/>
              <w:rPr>
                <w:rFonts w:hint="eastAsia" w:ascii="宋体" w:hAnsi="宋体" w:eastAsia="宋体" w:cs="宋体"/>
                <w:color w:val="auto"/>
                <w:sz w:val="21"/>
                <w:szCs w:val="21"/>
                <w:lang w:val="en-US" w:eastAsia="zh-CN"/>
              </w:rPr>
            </w:pPr>
            <w:r>
              <w:rPr>
                <w:rFonts w:hint="default" w:ascii="宋体" w:hAnsi="宋体" w:eastAsia="宋体" w:cs="宋体"/>
                <w:color w:val="auto"/>
                <w:sz w:val="21"/>
                <w:szCs w:val="21"/>
                <w:lang w:val="en-US" w:eastAsia="zh-CN"/>
              </w:rPr>
              <w:t>4.</w:t>
            </w:r>
            <w:r>
              <w:rPr>
                <w:rFonts w:hint="eastAsia" w:ascii="宋体" w:hAnsi="宋体" w:eastAsia="宋体" w:cs="宋体"/>
                <w:color w:val="auto"/>
                <w:sz w:val="21"/>
                <w:szCs w:val="21"/>
                <w:lang w:val="en-US" w:eastAsia="zh-CN"/>
              </w:rPr>
              <w:t>料斗尺寸：53.3×120.7cm（长×宽）</w:t>
            </w:r>
          </w:p>
          <w:p>
            <w:pPr>
              <w:pStyle w:val="8"/>
              <w:numPr>
                <w:ilvl w:val="0"/>
                <w:numId w:val="0"/>
              </w:numPr>
              <w:spacing w:line="240" w:lineRule="auto"/>
              <w:outlineLvl w:val="9"/>
              <w:rPr>
                <w:rFonts w:hint="eastAsia" w:ascii="宋体" w:hAnsi="宋体" w:eastAsia="宋体" w:cs="宋体"/>
                <w:color w:val="auto"/>
                <w:sz w:val="21"/>
                <w:szCs w:val="21"/>
                <w:lang w:val="en-US" w:eastAsia="zh-CN"/>
              </w:rPr>
            </w:pPr>
            <w:r>
              <w:rPr>
                <w:rFonts w:hint="default" w:ascii="宋体" w:hAnsi="宋体" w:eastAsia="宋体" w:cs="宋体"/>
                <w:color w:val="auto"/>
                <w:sz w:val="21"/>
                <w:szCs w:val="21"/>
                <w:lang w:val="en-US" w:eastAsia="zh-CN"/>
              </w:rPr>
              <w:t>5.</w:t>
            </w:r>
            <w:r>
              <w:rPr>
                <w:rFonts w:hint="eastAsia" w:ascii="宋体" w:hAnsi="宋体" w:eastAsia="宋体" w:cs="宋体"/>
                <w:color w:val="auto"/>
                <w:sz w:val="21"/>
                <w:szCs w:val="21"/>
                <w:lang w:val="en-US" w:eastAsia="zh-CN"/>
              </w:rPr>
              <w:t>重量（空载）：63.9kg（含安装件）</w:t>
            </w:r>
          </w:p>
          <w:p>
            <w:pPr>
              <w:pStyle w:val="8"/>
              <w:numPr>
                <w:ilvl w:val="0"/>
                <w:numId w:val="0"/>
              </w:numPr>
              <w:spacing w:line="240" w:lineRule="auto"/>
              <w:outlineLvl w:val="9"/>
              <w:rPr>
                <w:rFonts w:hint="eastAsia" w:ascii="宋体" w:hAnsi="宋体" w:eastAsia="宋体" w:cs="宋体"/>
                <w:color w:val="auto"/>
                <w:sz w:val="21"/>
                <w:szCs w:val="21"/>
                <w:lang w:val="en-US" w:eastAsia="zh-CN"/>
              </w:rPr>
            </w:pPr>
            <w:r>
              <w:rPr>
                <w:rFonts w:hint="default" w:ascii="宋体" w:hAnsi="宋体" w:eastAsia="宋体" w:cs="宋体"/>
                <w:color w:val="auto"/>
                <w:sz w:val="21"/>
                <w:szCs w:val="21"/>
                <w:lang w:val="en-US" w:eastAsia="zh-CN"/>
              </w:rPr>
              <w:t>6.</w:t>
            </w:r>
            <w:r>
              <w:rPr>
                <w:rFonts w:hint="eastAsia" w:ascii="宋体" w:hAnsi="宋体" w:eastAsia="宋体" w:cs="宋体"/>
                <w:color w:val="auto"/>
                <w:sz w:val="21"/>
                <w:szCs w:val="21"/>
                <w:lang w:val="en-US" w:eastAsia="zh-CN"/>
              </w:rPr>
              <w:t>电机：1/3hp</w:t>
            </w:r>
          </w:p>
          <w:p>
            <w:pPr>
              <w:pStyle w:val="8"/>
              <w:numPr>
                <w:ilvl w:val="0"/>
                <w:numId w:val="0"/>
              </w:numPr>
              <w:spacing w:line="240" w:lineRule="auto"/>
              <w:outlineLvl w:val="9"/>
              <w:rPr>
                <w:rFonts w:hint="eastAsia" w:ascii="宋体" w:hAnsi="宋体" w:eastAsia="宋体" w:cs="宋体"/>
                <w:color w:val="auto"/>
                <w:sz w:val="21"/>
                <w:szCs w:val="21"/>
                <w:lang w:val="en-US" w:eastAsia="zh-CN"/>
              </w:rPr>
            </w:pPr>
            <w:r>
              <w:rPr>
                <w:rFonts w:hint="default" w:ascii="宋体" w:hAnsi="宋体" w:eastAsia="宋体" w:cs="宋体"/>
                <w:color w:val="auto"/>
                <w:sz w:val="21"/>
                <w:szCs w:val="21"/>
                <w:lang w:val="en-US" w:eastAsia="zh-CN"/>
              </w:rPr>
              <w:t>7.</w:t>
            </w:r>
            <w:r>
              <w:rPr>
                <w:rFonts w:hint="eastAsia" w:ascii="宋体" w:hAnsi="宋体" w:eastAsia="宋体" w:cs="宋体"/>
                <w:color w:val="auto"/>
                <w:sz w:val="21"/>
                <w:szCs w:val="21"/>
                <w:lang w:val="en-US" w:eastAsia="zh-CN"/>
              </w:rPr>
              <w:t>撒播盘：25.4 厘米尼龙/玻璃增强树脂</w:t>
            </w:r>
          </w:p>
          <w:p>
            <w:pPr>
              <w:pStyle w:val="8"/>
              <w:numPr>
                <w:ilvl w:val="0"/>
                <w:numId w:val="0"/>
              </w:numPr>
              <w:spacing w:line="240" w:lineRule="auto"/>
              <w:outlineLvl w:val="9"/>
              <w:rPr>
                <w:rFonts w:hint="eastAsia" w:ascii="宋体" w:hAnsi="宋体" w:eastAsia="宋体" w:cs="宋体"/>
                <w:color w:val="auto"/>
                <w:sz w:val="21"/>
                <w:szCs w:val="21"/>
                <w:lang w:val="en-US" w:eastAsia="zh-CN"/>
              </w:rPr>
            </w:pPr>
            <w:r>
              <w:rPr>
                <w:rFonts w:hint="default" w:ascii="宋体" w:hAnsi="宋体" w:eastAsia="宋体" w:cs="宋体"/>
                <w:color w:val="auto"/>
                <w:sz w:val="21"/>
                <w:szCs w:val="21"/>
                <w:lang w:val="en-US" w:eastAsia="zh-CN"/>
              </w:rPr>
              <w:t>8.</w:t>
            </w:r>
            <w:r>
              <w:rPr>
                <w:rFonts w:hint="eastAsia" w:ascii="宋体" w:hAnsi="宋体" w:eastAsia="宋体" w:cs="宋体"/>
                <w:color w:val="auto"/>
                <w:sz w:val="21"/>
                <w:szCs w:val="21"/>
                <w:lang w:val="en-US" w:eastAsia="zh-CN"/>
              </w:rPr>
              <w:t>撒布宽度：0.9-12.2m（视不同融雪剂）</w:t>
            </w:r>
          </w:p>
          <w:p>
            <w:pPr>
              <w:pStyle w:val="8"/>
              <w:numPr>
                <w:ilvl w:val="0"/>
                <w:numId w:val="0"/>
              </w:numPr>
              <w:spacing w:line="240" w:lineRule="auto"/>
              <w:outlineLvl w:val="9"/>
              <w:rPr>
                <w:rFonts w:hint="eastAsia" w:ascii="宋体" w:hAnsi="宋体" w:eastAsia="宋体" w:cs="宋体"/>
                <w:color w:val="auto"/>
                <w:sz w:val="21"/>
                <w:szCs w:val="21"/>
                <w:lang w:val="en-US" w:eastAsia="zh-CN"/>
              </w:rPr>
            </w:pPr>
            <w:r>
              <w:rPr>
                <w:rFonts w:hint="default" w:ascii="宋体" w:hAnsi="宋体" w:eastAsia="宋体" w:cs="宋体"/>
                <w:color w:val="auto"/>
                <w:sz w:val="21"/>
                <w:szCs w:val="21"/>
                <w:lang w:val="en-US" w:eastAsia="zh-CN"/>
              </w:rPr>
              <w:t>9.</w:t>
            </w:r>
            <w:r>
              <w:rPr>
                <w:rFonts w:hint="eastAsia" w:ascii="宋体" w:hAnsi="宋体" w:eastAsia="宋体" w:cs="宋体"/>
                <w:color w:val="auto"/>
                <w:sz w:val="21"/>
                <w:szCs w:val="21"/>
                <w:lang w:val="en-US" w:eastAsia="zh-CN"/>
              </w:rPr>
              <w:t>速度控制：数字、自诊断变速控制</w:t>
            </w:r>
          </w:p>
          <w:p>
            <w:pPr>
              <w:pStyle w:val="8"/>
              <w:numPr>
                <w:ilvl w:val="0"/>
                <w:numId w:val="0"/>
              </w:numPr>
              <w:spacing w:line="240" w:lineRule="auto"/>
              <w:outlineLvl w:val="9"/>
              <w:rPr>
                <w:rFonts w:hint="eastAsia" w:ascii="宋体" w:hAnsi="宋体" w:eastAsia="宋体" w:cs="宋体"/>
                <w:color w:val="auto"/>
                <w:sz w:val="21"/>
                <w:szCs w:val="21"/>
                <w:lang w:val="en-US" w:eastAsia="zh-CN"/>
              </w:rPr>
            </w:pPr>
            <w:r>
              <w:rPr>
                <w:rFonts w:hint="default" w:ascii="宋体" w:hAnsi="宋体" w:eastAsia="宋体" w:cs="宋体"/>
                <w:color w:val="auto"/>
                <w:sz w:val="21"/>
                <w:szCs w:val="21"/>
                <w:lang w:val="en-US" w:eastAsia="zh-CN"/>
              </w:rPr>
              <w:t>10.</w:t>
            </w:r>
            <w:r>
              <w:rPr>
                <w:rFonts w:hint="eastAsia" w:ascii="宋体" w:hAnsi="宋体" w:eastAsia="宋体" w:cs="宋体"/>
                <w:color w:val="auto"/>
                <w:sz w:val="21"/>
                <w:szCs w:val="21"/>
                <w:lang w:val="en-US" w:eastAsia="zh-CN"/>
              </w:rPr>
              <w:t>线束：完全隐约可见的模制插头</w:t>
            </w:r>
          </w:p>
          <w:p>
            <w:pPr>
              <w:pStyle w:val="8"/>
              <w:numPr>
                <w:ilvl w:val="0"/>
                <w:numId w:val="0"/>
              </w:numPr>
              <w:spacing w:line="240" w:lineRule="auto"/>
              <w:outlineLvl w:val="9"/>
              <w:rPr>
                <w:rFonts w:hint="eastAsia" w:ascii="宋体" w:hAnsi="宋体" w:eastAsia="宋体" w:cs="宋体"/>
                <w:color w:val="auto"/>
                <w:sz w:val="21"/>
                <w:szCs w:val="21"/>
                <w:lang w:val="en-US" w:eastAsia="zh-CN"/>
              </w:rPr>
            </w:pPr>
            <w:r>
              <w:rPr>
                <w:rFonts w:hint="default" w:ascii="宋体" w:hAnsi="宋体" w:eastAsia="宋体" w:cs="宋体"/>
                <w:color w:val="auto"/>
                <w:sz w:val="21"/>
                <w:szCs w:val="21"/>
                <w:lang w:val="en-US" w:eastAsia="zh-CN"/>
              </w:rPr>
              <w:t>11.</w:t>
            </w:r>
            <w:r>
              <w:rPr>
                <w:rFonts w:hint="eastAsia" w:ascii="宋体" w:hAnsi="宋体" w:eastAsia="宋体" w:cs="宋体"/>
                <w:color w:val="auto"/>
                <w:sz w:val="21"/>
                <w:szCs w:val="21"/>
                <w:lang w:val="en-US" w:eastAsia="zh-CN"/>
              </w:rPr>
              <w:t>框架：粉末涂层钢</w:t>
            </w:r>
          </w:p>
          <w:p>
            <w:pPr>
              <w:pStyle w:val="8"/>
              <w:numPr>
                <w:ilvl w:val="0"/>
                <w:numId w:val="0"/>
              </w:numPr>
              <w:spacing w:line="240" w:lineRule="auto"/>
              <w:outlineLvl w:val="9"/>
              <w:rPr>
                <w:rFonts w:hint="eastAsia" w:ascii="宋体" w:hAnsi="宋体" w:eastAsia="宋体" w:cs="宋体"/>
                <w:color w:val="auto"/>
                <w:sz w:val="21"/>
                <w:szCs w:val="21"/>
                <w:lang w:val="en-US" w:eastAsia="zh-CN"/>
              </w:rPr>
            </w:pPr>
            <w:r>
              <w:rPr>
                <w:rFonts w:hint="default" w:ascii="宋体" w:hAnsi="宋体" w:eastAsia="宋体" w:cs="宋体"/>
                <w:color w:val="auto"/>
                <w:sz w:val="21"/>
                <w:szCs w:val="21"/>
                <w:lang w:val="en-US" w:eastAsia="zh-CN"/>
              </w:rPr>
              <w:t>12.</w:t>
            </w:r>
            <w:r>
              <w:rPr>
                <w:rFonts w:hint="eastAsia" w:ascii="宋体" w:hAnsi="宋体" w:eastAsia="宋体" w:cs="宋体"/>
                <w:color w:val="auto"/>
                <w:sz w:val="21"/>
                <w:szCs w:val="21"/>
                <w:lang w:val="en-US" w:eastAsia="zh-CN"/>
              </w:rPr>
              <w:t>料斗：一件式LLDPE安全黄色聚乙烯</w:t>
            </w:r>
          </w:p>
          <w:p>
            <w:pPr>
              <w:pStyle w:val="8"/>
              <w:numPr>
                <w:ilvl w:val="0"/>
                <w:numId w:val="0"/>
              </w:numPr>
              <w:spacing w:line="240" w:lineRule="auto"/>
              <w:outlineLvl w:val="9"/>
              <w:rPr>
                <w:rFonts w:hint="eastAsia" w:ascii="宋体" w:hAnsi="宋体" w:eastAsia="宋体" w:cs="宋体"/>
                <w:color w:val="auto"/>
                <w:sz w:val="21"/>
                <w:szCs w:val="21"/>
                <w:lang w:val="en-US" w:eastAsia="zh-CN"/>
              </w:rPr>
            </w:pPr>
            <w:r>
              <w:rPr>
                <w:rFonts w:hint="default" w:ascii="宋体" w:hAnsi="宋体" w:eastAsia="宋体" w:cs="宋体"/>
                <w:color w:val="auto"/>
                <w:sz w:val="21"/>
                <w:szCs w:val="21"/>
                <w:lang w:val="en-US" w:eastAsia="zh-CN"/>
              </w:rPr>
              <w:t>13.</w:t>
            </w:r>
            <w:r>
              <w:rPr>
                <w:rFonts w:hint="eastAsia" w:ascii="宋体" w:hAnsi="宋体" w:eastAsia="宋体" w:cs="宋体"/>
                <w:color w:val="auto"/>
                <w:sz w:val="21"/>
                <w:szCs w:val="21"/>
                <w:lang w:val="en-US" w:eastAsia="zh-CN"/>
              </w:rPr>
              <w:t>马达：安装在防风雨外壳中的 12 伏直流电机</w:t>
            </w:r>
          </w:p>
          <w:p>
            <w:pPr>
              <w:pStyle w:val="8"/>
              <w:numPr>
                <w:ilvl w:val="0"/>
                <w:numId w:val="0"/>
              </w:numPr>
              <w:spacing w:line="240" w:lineRule="auto"/>
              <w:outlineLvl w:val="9"/>
              <w:rPr>
                <w:rFonts w:hint="eastAsia" w:ascii="宋体" w:hAnsi="宋体" w:eastAsia="宋体" w:cs="宋体"/>
                <w:color w:val="auto"/>
                <w:sz w:val="21"/>
                <w:szCs w:val="21"/>
                <w:lang w:val="en-US" w:eastAsia="zh-CN"/>
              </w:rPr>
            </w:pPr>
            <w:r>
              <w:rPr>
                <w:rFonts w:hint="default" w:ascii="宋体" w:hAnsi="宋体" w:eastAsia="宋体" w:cs="宋体"/>
                <w:color w:val="auto"/>
                <w:sz w:val="21"/>
                <w:szCs w:val="21"/>
                <w:lang w:val="en-US" w:eastAsia="zh-CN"/>
              </w:rPr>
              <w:t>14.</w:t>
            </w:r>
            <w:r>
              <w:rPr>
                <w:rFonts w:hint="eastAsia" w:ascii="宋体" w:hAnsi="宋体" w:eastAsia="宋体" w:cs="宋体"/>
                <w:color w:val="auto"/>
                <w:sz w:val="21"/>
                <w:szCs w:val="21"/>
                <w:lang w:val="en-US" w:eastAsia="zh-CN"/>
              </w:rPr>
              <w:t>旋转驱动组件：硬化钢蜗杆和青铜齿轮的最大扭矩传输</w:t>
            </w:r>
          </w:p>
          <w:p>
            <w:pPr>
              <w:pStyle w:val="8"/>
              <w:numPr>
                <w:ilvl w:val="0"/>
                <w:numId w:val="0"/>
              </w:numPr>
              <w:spacing w:line="240" w:lineRule="auto"/>
              <w:outlineLvl w:val="9"/>
              <w:rPr>
                <w:rFonts w:hint="eastAsia" w:ascii="宋体" w:hAnsi="宋体" w:eastAsia="宋体" w:cs="宋体"/>
                <w:color w:val="auto"/>
                <w:sz w:val="21"/>
                <w:szCs w:val="21"/>
                <w:lang w:val="en-US" w:eastAsia="zh-CN"/>
              </w:rPr>
            </w:pPr>
            <w:r>
              <w:rPr>
                <w:rFonts w:hint="default" w:ascii="宋体" w:hAnsi="宋体" w:eastAsia="宋体" w:cs="宋体"/>
                <w:color w:val="auto"/>
                <w:sz w:val="21"/>
                <w:szCs w:val="21"/>
                <w:lang w:val="en-US" w:eastAsia="zh-CN"/>
              </w:rPr>
              <w:t>15.</w:t>
            </w:r>
            <w:r>
              <w:rPr>
                <w:rFonts w:hint="eastAsia" w:ascii="宋体" w:hAnsi="宋体" w:eastAsia="宋体" w:cs="宋体"/>
                <w:color w:val="auto"/>
                <w:sz w:val="21"/>
                <w:szCs w:val="21"/>
                <w:lang w:val="en-US" w:eastAsia="zh-CN"/>
              </w:rPr>
              <w:t>螺旋钻：7.6 厘米立式大流量螺旋钻</w:t>
            </w:r>
          </w:p>
          <w:p>
            <w:pPr>
              <w:pStyle w:val="8"/>
              <w:numPr>
                <w:ilvl w:val="0"/>
                <w:numId w:val="0"/>
              </w:numPr>
              <w:spacing w:line="240" w:lineRule="auto"/>
              <w:outlineLvl w:val="9"/>
              <w:rPr>
                <w:rFonts w:hint="eastAsia" w:ascii="宋体" w:hAnsi="宋体" w:eastAsia="宋体" w:cs="宋体"/>
                <w:color w:val="auto"/>
                <w:sz w:val="21"/>
                <w:szCs w:val="21"/>
                <w:lang w:val="en-US" w:eastAsia="zh-CN"/>
              </w:rPr>
            </w:pPr>
            <w:r>
              <w:rPr>
                <w:rFonts w:hint="default" w:ascii="宋体" w:hAnsi="宋体" w:eastAsia="宋体" w:cs="宋体"/>
                <w:color w:val="auto"/>
                <w:sz w:val="21"/>
                <w:szCs w:val="21"/>
                <w:lang w:val="en-US" w:eastAsia="zh-CN"/>
              </w:rPr>
              <w:t>16.</w:t>
            </w:r>
            <w:r>
              <w:rPr>
                <w:rFonts w:hint="eastAsia" w:ascii="宋体" w:hAnsi="宋体" w:eastAsia="宋体" w:cs="宋体"/>
                <w:color w:val="auto"/>
                <w:sz w:val="21"/>
                <w:szCs w:val="21"/>
                <w:lang w:val="en-US" w:eastAsia="zh-CN"/>
              </w:rPr>
              <w:t>筛网：钢制筛网</w:t>
            </w:r>
          </w:p>
          <w:p>
            <w:pPr>
              <w:pStyle w:val="8"/>
              <w:numPr>
                <w:ilvl w:val="0"/>
                <w:numId w:val="0"/>
              </w:numPr>
              <w:spacing w:line="240" w:lineRule="auto"/>
              <w:outlineLvl w:val="9"/>
              <w:rPr>
                <w:rFonts w:hint="eastAsia"/>
                <w:color w:val="auto"/>
              </w:rPr>
            </w:pPr>
            <w:r>
              <w:rPr>
                <w:rFonts w:hint="default" w:ascii="宋体" w:hAnsi="宋体" w:eastAsia="宋体" w:cs="宋体"/>
                <w:color w:val="auto"/>
                <w:sz w:val="21"/>
                <w:szCs w:val="21"/>
                <w:lang w:val="en-US" w:eastAsia="zh-CN"/>
              </w:rPr>
              <w:t>17.</w:t>
            </w:r>
            <w:r>
              <w:rPr>
                <w:rFonts w:hint="eastAsia" w:ascii="宋体" w:hAnsi="宋体" w:eastAsia="宋体" w:cs="宋体"/>
                <w:color w:val="auto"/>
                <w:sz w:val="21"/>
                <w:szCs w:val="21"/>
                <w:lang w:val="en-US" w:eastAsia="zh-CN"/>
              </w:rPr>
              <w:t>顶盖：聚乙烯顶盖</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lang w:eastAsia="zh-CN"/>
              </w:rPr>
            </w:pPr>
            <w:r>
              <w:rPr>
                <w:rFonts w:hint="eastAsia" w:ascii="宋体" w:hAnsi="宋体" w:cs="宋体"/>
                <w:color w:val="auto"/>
                <w:szCs w:val="21"/>
                <w:lang w:val="en-US" w:eastAsia="zh-CN"/>
              </w:rPr>
              <w:t>2</w:t>
            </w: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color w:val="auto"/>
                <w:szCs w:val="21"/>
              </w:rPr>
              <w:t>辆</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r>
    </w:tbl>
    <w:p>
      <w:pPr>
        <w:pStyle w:val="7"/>
        <w:ind w:left="0" w:leftChars="0" w:firstLine="0" w:firstLineChars="0"/>
        <w:rPr>
          <w:color w:val="auto"/>
        </w:rPr>
      </w:pPr>
    </w:p>
    <w:p>
      <w:pPr>
        <w:numPr>
          <w:ilvl w:val="0"/>
          <w:numId w:val="0"/>
        </w:numPr>
        <w:spacing w:line="24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kern w:val="2"/>
          <w:sz w:val="21"/>
          <w:szCs w:val="21"/>
          <w:lang w:val="en-US" w:eastAsia="zh-CN" w:bidi="ar-SA"/>
        </w:rPr>
        <w:t>二、</w:t>
      </w:r>
      <w:r>
        <w:rPr>
          <w:rFonts w:hint="eastAsia" w:ascii="宋体" w:hAnsi="宋体" w:eastAsia="宋体" w:cs="宋体"/>
          <w:b/>
          <w:bCs/>
          <w:color w:val="auto"/>
          <w:sz w:val="21"/>
          <w:szCs w:val="21"/>
          <w:lang w:val="en-US" w:eastAsia="zh-CN"/>
        </w:rPr>
        <w:t>商务</w:t>
      </w:r>
      <w:r>
        <w:rPr>
          <w:rFonts w:hint="eastAsia" w:ascii="宋体" w:hAnsi="宋体" w:cs="宋体"/>
          <w:b/>
          <w:bCs/>
          <w:color w:val="auto"/>
          <w:sz w:val="21"/>
          <w:szCs w:val="21"/>
          <w:lang w:val="en-US" w:eastAsia="zh-CN"/>
        </w:rPr>
        <w:t>要求</w:t>
      </w:r>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（一）交货期：自合同签订之日起30个日历天内交货、安装完毕并通过验收。</w:t>
      </w:r>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bookmarkStart w:id="0" w:name="_Toc32156"/>
      <w:bookmarkStart w:id="1" w:name="_Toc25791"/>
      <w:bookmarkStart w:id="2" w:name="_Toc28873"/>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二</w:t>
      </w:r>
      <w:r>
        <w:rPr>
          <w:rFonts w:hint="eastAsia" w:ascii="宋体" w:hAnsi="宋体" w:eastAsia="宋体" w:cs="宋体"/>
          <w:color w:val="auto"/>
          <w:sz w:val="21"/>
          <w:szCs w:val="21"/>
          <w:lang w:eastAsia="zh-CN"/>
        </w:rPr>
        <w:t>）</w:t>
      </w:r>
      <w:bookmarkEnd w:id="0"/>
      <w:bookmarkEnd w:id="1"/>
      <w:bookmarkEnd w:id="2"/>
      <w:r>
        <w:rPr>
          <w:rFonts w:hint="eastAsia" w:ascii="宋体" w:hAnsi="宋体" w:eastAsia="宋体" w:cs="宋体"/>
          <w:color w:val="auto"/>
          <w:sz w:val="21"/>
          <w:szCs w:val="21"/>
          <w:lang w:val="en-US" w:eastAsia="zh-CN"/>
        </w:rPr>
        <w:t>交货地点：采购人指定地点</w:t>
      </w:r>
    </w:p>
    <w:p>
      <w:pPr>
        <w:pStyle w:val="8"/>
        <w:numPr>
          <w:ilvl w:val="0"/>
          <w:numId w:val="0"/>
        </w:numPr>
        <w:spacing w:line="240" w:lineRule="auto"/>
        <w:ind w:left="420" w:leftChars="0"/>
        <w:outlineLvl w:val="9"/>
        <w:rPr>
          <w:rFonts w:hint="eastAsia" w:ascii="宋体" w:hAnsi="宋体" w:eastAsia="宋体" w:cs="宋体"/>
          <w:color w:val="auto"/>
          <w:sz w:val="21"/>
          <w:szCs w:val="21"/>
          <w:lang w:val="en-US" w:eastAsia="zh-CN"/>
        </w:rPr>
      </w:pPr>
      <w:bookmarkStart w:id="3" w:name="_Toc9499"/>
      <w:bookmarkStart w:id="4" w:name="_Toc1420"/>
      <w:bookmarkStart w:id="5" w:name="_Toc13181"/>
      <w:r>
        <w:rPr>
          <w:rFonts w:hint="eastAsia" w:ascii="宋体" w:hAnsi="宋体" w:eastAsia="宋体" w:cs="宋体"/>
          <w:color w:val="auto"/>
          <w:sz w:val="21"/>
          <w:szCs w:val="21"/>
          <w:lang w:val="en-US" w:eastAsia="zh-CN"/>
        </w:rPr>
        <w:t>（三）</w:t>
      </w:r>
      <w:bookmarkEnd w:id="3"/>
      <w:bookmarkEnd w:id="4"/>
      <w:bookmarkEnd w:id="5"/>
      <w:bookmarkStart w:id="6" w:name="_Toc19154"/>
      <w:r>
        <w:rPr>
          <w:rFonts w:hint="eastAsia" w:ascii="宋体" w:hAnsi="宋体" w:eastAsia="宋体" w:cs="宋体"/>
          <w:color w:val="auto"/>
          <w:sz w:val="21"/>
          <w:szCs w:val="21"/>
          <w:lang w:val="en-US" w:eastAsia="zh-CN"/>
        </w:rPr>
        <w:t>质保期及售后服务要求</w:t>
      </w:r>
      <w:bookmarkEnd w:id="6"/>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1.本合同的质量保证期（简称“质保期”）为1年，质保期内成交供应商对所供货物实行包修、包换、包退及合同约定的其它事项，期满后可同时提供终身(免费/有偿)维修保养服务。</w:t>
      </w:r>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2.质保期内，如设备或零部件因质量原因出现故障而造成短期停用时，则质保期和免费维修期相应顺延。如停用时间累计超过60天则质保期重新计算。</w:t>
      </w:r>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3.对采购人的服务通知，成交供应商在接报后1小时内响应，4小时内到达现场，48小时内处理完毕。若在48小时内仍未能有效解决，成交供应商须免费提供同档次的设备予采购人临时使用。</w:t>
      </w:r>
    </w:p>
    <w:p>
      <w:pPr>
        <w:pStyle w:val="8"/>
        <w:numPr>
          <w:ilvl w:val="0"/>
          <w:numId w:val="0"/>
        </w:numPr>
        <w:spacing w:line="240" w:lineRule="auto"/>
        <w:ind w:left="420" w:leftChars="0"/>
        <w:outlineLvl w:val="9"/>
        <w:rPr>
          <w:rFonts w:hint="eastAsia" w:ascii="宋体" w:hAnsi="宋体" w:eastAsia="宋体" w:cs="宋体"/>
          <w:color w:val="auto"/>
          <w:sz w:val="21"/>
          <w:szCs w:val="21"/>
          <w:lang w:val="en-US" w:eastAsia="zh-CN"/>
        </w:rPr>
      </w:pPr>
      <w:bookmarkStart w:id="7" w:name="_Toc30170"/>
      <w:r>
        <w:rPr>
          <w:rFonts w:hint="eastAsia" w:ascii="宋体" w:hAnsi="宋体" w:eastAsia="宋体" w:cs="宋体"/>
          <w:color w:val="auto"/>
          <w:sz w:val="21"/>
          <w:szCs w:val="21"/>
          <w:lang w:val="en-US" w:eastAsia="zh-CN"/>
        </w:rPr>
        <w:t>（四）安装与调试</w:t>
      </w:r>
      <w:bookmarkEnd w:id="7"/>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1.成交供应商必须依照招标文件的要求和投标文件的承诺，将设备安装并调试至正常运行的最佳状态。</w:t>
      </w:r>
    </w:p>
    <w:p>
      <w:pPr>
        <w:pStyle w:val="8"/>
        <w:numPr>
          <w:ilvl w:val="0"/>
          <w:numId w:val="0"/>
        </w:numPr>
        <w:spacing w:line="240" w:lineRule="auto"/>
        <w:ind w:left="420" w:leftChars="0"/>
        <w:outlineLvl w:val="9"/>
        <w:rPr>
          <w:rFonts w:hint="eastAsia" w:ascii="宋体" w:hAnsi="宋体" w:eastAsia="宋体" w:cs="宋体"/>
          <w:color w:val="auto"/>
          <w:sz w:val="21"/>
          <w:szCs w:val="21"/>
          <w:lang w:val="en-US" w:eastAsia="zh-CN"/>
        </w:rPr>
      </w:pPr>
      <w:bookmarkStart w:id="8" w:name="_Toc13225"/>
      <w:r>
        <w:rPr>
          <w:rFonts w:hint="eastAsia" w:ascii="宋体" w:hAnsi="宋体" w:eastAsia="宋体" w:cs="宋体"/>
          <w:color w:val="auto"/>
          <w:sz w:val="21"/>
          <w:szCs w:val="21"/>
          <w:lang w:val="en-US" w:eastAsia="zh-CN"/>
        </w:rPr>
        <w:t>（五）验收：</w:t>
      </w:r>
      <w:bookmarkEnd w:id="8"/>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1.交付验收标准依次序对照适用标准为：①符合中华人民共和国国家安全质量标准、环保标准或行业标准；②符合招标文件和响应承诺中采购人认可的合理最佳配置、参数及各项要求；③货物来源国官方标准。</w:t>
      </w:r>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2.进口产品必须具备原产地证明和商检局的检验证明及合法进货渠道证明。</w:t>
      </w:r>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3.货物为原厂商未启封全新包装，具出厂合格证，序列号、包装箱号与出厂批号一致，并可追索查阅。所有随设备的附件必须齐全。</w:t>
      </w:r>
    </w:p>
    <w:p>
      <w:pPr>
        <w:pStyle w:val="8"/>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4.成交供应商应将关键主</w:t>
      </w:r>
      <w:r>
        <w:rPr>
          <w:rFonts w:hint="eastAsia" w:ascii="宋体" w:hAnsi="宋体" w:cs="宋体"/>
          <w:color w:val="auto"/>
          <w:sz w:val="21"/>
          <w:szCs w:val="21"/>
          <w:lang w:val="en-US" w:eastAsia="zh-CN"/>
        </w:rPr>
        <w:t>要</w:t>
      </w:r>
      <w:r>
        <w:rPr>
          <w:rFonts w:hint="eastAsia" w:ascii="宋体" w:hAnsi="宋体" w:eastAsia="宋体" w:cs="宋体"/>
          <w:color w:val="auto"/>
          <w:sz w:val="21"/>
          <w:szCs w:val="21"/>
          <w:lang w:val="en-US" w:eastAsia="zh-CN"/>
        </w:rPr>
        <w:t>设备的用户手册、保修手册、有关单证资料及配备件、随机工具等交付给采购人，使用操作及安全须知等重要资料应附有中文说明。</w:t>
      </w:r>
    </w:p>
    <w:p>
      <w:pP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采购人组成验收小组按国家有关规定、规范进行验收，必要时邀请相关的专业人员或机构参与验收。因货物质量问题发生争议时，由本地质量技术监督部门鉴定。货物符合质量技术标准的，鉴定费由采购人承担；否则鉴定费由成交供应商承担。</w:t>
      </w:r>
    </w:p>
    <w:p>
      <w:pPr>
        <w:pStyle w:val="4"/>
        <w:ind w:left="0" w:leftChars="0"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（六）付款方式：合同签订生效，项目验收合格后的20个工作日内，采购人向成交供应商支付合同总金额的100%。</w:t>
      </w:r>
    </w:p>
    <w:p>
      <w:pPr>
        <w:pStyle w:val="4"/>
        <w:ind w:left="0" w:leftChars="0" w:firstLine="420" w:firstLineChars="200"/>
        <w:rPr>
          <w:rFonts w:hint="eastAsia" w:ascii="宋体" w:hAnsi="宋体" w:eastAsia="宋体" w:cs="宋体"/>
          <w:color w:val="auto"/>
          <w:sz w:val="21"/>
          <w:szCs w:val="21"/>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Y2Y1ODY4MmFkNzIxNmJmYWFhNTkwOTYyMmUzZjYifQ=="/>
  </w:docVars>
  <w:rsids>
    <w:rsidRoot w:val="0C0162F2"/>
    <w:rsid w:val="0C0162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paragraph" w:styleId="3">
    <w:name w:val="Body Text Indent"/>
    <w:basedOn w:val="1"/>
    <w:qFormat/>
    <w:uiPriority w:val="0"/>
    <w:pPr>
      <w:spacing w:line="360" w:lineRule="auto"/>
      <w:ind w:left="425" w:firstLine="518" w:firstLineChars="216"/>
    </w:pPr>
    <w:rPr>
      <w:rFonts w:ascii="楷体_GB2312" w:eastAsia="楷体_GB2312"/>
      <w:sz w:val="24"/>
    </w:rPr>
  </w:style>
  <w:style w:type="paragraph" w:styleId="4">
    <w:name w:val="Body Text First Indent 2"/>
    <w:basedOn w:val="3"/>
    <w:unhideWhenUsed/>
    <w:qFormat/>
    <w:uiPriority w:val="99"/>
    <w:pPr>
      <w:ind w:firstLine="420" w:firstLineChars="200"/>
    </w:pPr>
  </w:style>
  <w:style w:type="paragraph" w:customStyle="1" w:styleId="7">
    <w:name w:val="正文正"/>
    <w:basedOn w:val="1"/>
    <w:qFormat/>
    <w:uiPriority w:val="0"/>
    <w:pPr>
      <w:spacing w:line="560" w:lineRule="exact"/>
      <w:ind w:firstLine="561"/>
    </w:pPr>
    <w:rPr>
      <w:rFonts w:ascii="Calibri" w:hAnsi="Calibri"/>
      <w:sz w:val="28"/>
      <w:szCs w:val="24"/>
    </w:rPr>
  </w:style>
  <w:style w:type="paragraph" w:customStyle="1" w:styleId="8">
    <w:name w:val="Normal Indent"/>
    <w:basedOn w:val="9"/>
    <w:qFormat/>
    <w:uiPriority w:val="0"/>
    <w:pPr>
      <w:widowControl/>
      <w:ind w:firstLine="420"/>
      <w:jc w:val="left"/>
    </w:pPr>
    <w:rPr>
      <w:rFonts w:ascii="Times New Roman" w:hAnsi="Times New Roman"/>
      <w:kern w:val="0"/>
      <w:szCs w:val="20"/>
    </w:rPr>
  </w:style>
  <w:style w:type="paragraph" w:customStyle="1" w:styleId="9">
    <w:name w:val="正文 New"/>
    <w:next w:val="8"/>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2023-08-30T08:47:00Z</dcterms:created>
  <dc:creator>罗华秋</dc:creator>
  <cp:lastModifiedBy>罗华秋</cp:lastModifiedBy>
  <dcterms:modified xsi:type="dcterms:W3CDTF">2023-08-30T08:47:32Z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38A46F03ABDF4E1EB670E9169E72DAB9_11</vt:lpwstr>
  </property>
</Properties>
</file>