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电子询价项目名称：广东省人工影响天气水资源保障工程项目-火箭发射装置升级更新项目（广东省翁源县气象局、广东省始兴县气象局、广东省乳源瑶族自治县气象局）</w:t>
      </w:r>
    </w:p>
    <w:p w14:paraId="02FC761C">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电子询价项目编号：2026-115-GDHZ-DZX                                                             总预算金额：720,000.00元</w:t>
      </w:r>
    </w:p>
    <w:tbl>
      <w:tblPr>
        <w:tblStyle w:val="6"/>
        <w:tblW w:w="1460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1"/>
        <w:gridCol w:w="1155"/>
        <w:gridCol w:w="7235"/>
        <w:gridCol w:w="1354"/>
        <w:gridCol w:w="834"/>
        <w:gridCol w:w="625"/>
        <w:gridCol w:w="2371"/>
        <w:gridCol w:w="467"/>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各气象局单价（元）</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48" w:hRule="atLeast"/>
        </w:trPr>
        <w:tc>
          <w:tcPr>
            <w:tcW w:w="5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广东省人工影响天气水资源保障工程项目-火箭发射装置升级更新项目（广东省翁源县气象局、广东省始兴县气象局、广东省乳源瑶族自治县气象局）</w:t>
            </w:r>
          </w:p>
        </w:tc>
        <w:tc>
          <w:tcPr>
            <w:tcW w:w="72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0C91">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一、采购项目概况</w:t>
            </w:r>
          </w:p>
          <w:tbl>
            <w:tblPr>
              <w:tblStyle w:val="6"/>
              <w:tblW w:w="508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5852"/>
            </w:tblGrid>
            <w:tr w14:paraId="5DAB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544" w:type="dxa"/>
                  <w:noWrap w:val="0"/>
                  <w:vAlign w:val="center"/>
                </w:tcPr>
                <w:p w14:paraId="34D7B264">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7116" w:type="dxa"/>
                  <w:noWrap w:val="0"/>
                  <w:vAlign w:val="center"/>
                </w:tcPr>
                <w:p w14:paraId="2275175C">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广东省人工影响天气水资源保障工程项目-火箭发射装置升级更新项目（广东省翁源县气象局、广东省始兴县气象局、广东省乳源瑶族自治县气象局）</w:t>
                  </w:r>
                </w:p>
              </w:tc>
            </w:tr>
            <w:tr w14:paraId="2DD8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544" w:type="dxa"/>
                  <w:noWrap w:val="0"/>
                  <w:vAlign w:val="center"/>
                </w:tcPr>
                <w:p w14:paraId="3FF3125B">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项目情况</w:t>
                  </w:r>
                </w:p>
              </w:tc>
              <w:tc>
                <w:tcPr>
                  <w:tcW w:w="7116" w:type="dxa"/>
                  <w:noWrap w:val="0"/>
                  <w:vAlign w:val="center"/>
                </w:tcPr>
                <w:p w14:paraId="2A708A34">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本项目为广东省人工影响天气水资源保障工程项目-火箭发射装置升级更新项目（广东省翁源县气象局、广东省始兴县气象局、广东省乳源瑶族自治县气象局），由广东省翁源县气象局作为牵头单位，联合广东省始兴县气象局、广东省乳源瑶族自治县气象局共同实施联合采购；采购流程统一组织完成后，各参与</w:t>
                  </w:r>
                  <w:r>
                    <w:rPr>
                      <w:rFonts w:hint="eastAsia" w:ascii="宋体" w:hAnsi="宋体" w:eastAsia="宋体" w:cs="宋体"/>
                      <w:i w:val="0"/>
                      <w:iCs w:val="0"/>
                      <w:color w:val="auto"/>
                      <w:sz w:val="21"/>
                      <w:szCs w:val="21"/>
                      <w:highlight w:val="none"/>
                      <w:lang w:val="en-US" w:eastAsia="zh-CN"/>
                    </w:rPr>
                    <w:t>采购单位</w:t>
                  </w:r>
                  <w:r>
                    <w:rPr>
                      <w:rFonts w:hint="eastAsia" w:ascii="宋体" w:hAnsi="宋体" w:eastAsia="宋体" w:cs="宋体"/>
                      <w:i w:val="0"/>
                      <w:iCs w:val="0"/>
                      <w:color w:val="auto"/>
                      <w:sz w:val="21"/>
                      <w:szCs w:val="21"/>
                      <w:highlight w:val="none"/>
                      <w:lang w:eastAsia="zh-CN"/>
                    </w:rPr>
                    <w:t>分别与成交供应商独立签订采购合同，各自开展履约验收工作，并由各</w:t>
                  </w:r>
                  <w:r>
                    <w:rPr>
                      <w:rFonts w:hint="eastAsia" w:ascii="宋体" w:hAnsi="宋体" w:eastAsia="宋体" w:cs="宋体"/>
                      <w:i w:val="0"/>
                      <w:iCs w:val="0"/>
                      <w:color w:val="auto"/>
                      <w:sz w:val="21"/>
                      <w:szCs w:val="21"/>
                      <w:highlight w:val="none"/>
                      <w:lang w:val="en-US" w:eastAsia="zh-CN"/>
                    </w:rPr>
                    <w:t>采购</w:t>
                  </w:r>
                  <w:r>
                    <w:rPr>
                      <w:rFonts w:hint="eastAsia" w:ascii="宋体" w:hAnsi="宋体" w:eastAsia="宋体" w:cs="宋体"/>
                      <w:i w:val="0"/>
                      <w:iCs w:val="0"/>
                      <w:color w:val="auto"/>
                      <w:sz w:val="21"/>
                      <w:szCs w:val="21"/>
                      <w:highlight w:val="none"/>
                      <w:lang w:eastAsia="zh-CN"/>
                    </w:rPr>
                    <w:t>单位按照合同约定分别支付本单位对应采购款项。</w:t>
                  </w:r>
                </w:p>
              </w:tc>
            </w:tr>
            <w:tr w14:paraId="665F0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544" w:type="dxa"/>
                  <w:noWrap w:val="0"/>
                  <w:vAlign w:val="center"/>
                </w:tcPr>
                <w:p w14:paraId="51F8D75A">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7116" w:type="dxa"/>
                  <w:noWrap w:val="0"/>
                  <w:vAlign w:val="center"/>
                </w:tcPr>
                <w:p w14:paraId="2D567A54">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val="en-US" w:eastAsia="zh-CN"/>
                    </w:rPr>
                    <w:t>2026-115-GDHZ-DZX</w:t>
                  </w:r>
                </w:p>
              </w:tc>
            </w:tr>
            <w:tr w14:paraId="194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44" w:type="dxa"/>
                  <w:noWrap w:val="0"/>
                  <w:vAlign w:val="center"/>
                </w:tcPr>
                <w:p w14:paraId="0C5D8D2C">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采购品目编码</w:t>
                  </w:r>
                </w:p>
              </w:tc>
              <w:tc>
                <w:tcPr>
                  <w:tcW w:w="7116" w:type="dxa"/>
                  <w:noWrap w:val="0"/>
                  <w:vAlign w:val="center"/>
                </w:tcPr>
                <w:p w14:paraId="63E59B39">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color w:val="000000"/>
                      <w:sz w:val="21"/>
                      <w:szCs w:val="21"/>
                      <w:lang w:val="en-US" w:eastAsia="zh-CN"/>
                    </w:rPr>
                    <w:t>A02430800火箭及发射、维护设施</w:t>
                  </w:r>
                </w:p>
              </w:tc>
            </w:tr>
            <w:tr w14:paraId="6D7E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44" w:type="dxa"/>
                  <w:noWrap w:val="0"/>
                  <w:vAlign w:val="center"/>
                </w:tcPr>
                <w:p w14:paraId="26DFD401">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7116" w:type="dxa"/>
                  <w:noWrap w:val="0"/>
                  <w:vAlign w:val="center"/>
                </w:tcPr>
                <w:p w14:paraId="77B781C4">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联合自行采购</w:t>
                  </w:r>
                </w:p>
              </w:tc>
            </w:tr>
            <w:tr w14:paraId="5DD6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544" w:type="dxa"/>
                  <w:noWrap w:val="0"/>
                  <w:vAlign w:val="center"/>
                </w:tcPr>
                <w:p w14:paraId="15E4F57C">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7116" w:type="dxa"/>
                  <w:noWrap w:val="0"/>
                  <w:vAlign w:val="center"/>
                </w:tcPr>
                <w:p w14:paraId="6F929AE3">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总预算金额：720,000.00元</w:t>
                  </w:r>
                </w:p>
                <w:p w14:paraId="73CED8C8">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广东省翁源县气象局：240,000.00元</w:t>
                  </w:r>
                </w:p>
                <w:p w14:paraId="38C098EC">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广东省始兴县气象局：240,000.00元</w:t>
                  </w:r>
                </w:p>
                <w:p w14:paraId="0D3B67E0">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广东省乳源瑶族自治县气象局：240,000.00元</w:t>
                  </w:r>
                </w:p>
              </w:tc>
            </w:tr>
            <w:tr w14:paraId="45FA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544" w:type="dxa"/>
                  <w:noWrap w:val="0"/>
                  <w:vAlign w:val="center"/>
                </w:tcPr>
                <w:p w14:paraId="28F8E5E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7116" w:type="dxa"/>
                  <w:noWrap w:val="0"/>
                  <w:vAlign w:val="center"/>
                </w:tcPr>
                <w:p w14:paraId="72313893">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14:paraId="1321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44" w:type="dxa"/>
                  <w:noWrap w:val="0"/>
                  <w:vAlign w:val="center"/>
                </w:tcPr>
                <w:p w14:paraId="10CEFC36">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7116" w:type="dxa"/>
                  <w:noWrap w:val="0"/>
                  <w:vAlign w:val="center"/>
                </w:tcPr>
                <w:p w14:paraId="00CBE0DF">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14:paraId="14FA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1544" w:type="dxa"/>
                  <w:noWrap w:val="0"/>
                  <w:vAlign w:val="center"/>
                </w:tcPr>
                <w:p w14:paraId="76876997">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7116" w:type="dxa"/>
                  <w:noWrap w:val="0"/>
                  <w:vAlign w:val="center"/>
                </w:tcPr>
                <w:p w14:paraId="1AAAE152">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广东省翁源县气象局</w:t>
                  </w:r>
                </w:p>
                <w:p w14:paraId="2C089D7C">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广东省始兴县气象局</w:t>
                  </w:r>
                </w:p>
                <w:p w14:paraId="402EF6D4">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广东省乳源瑶族自治县气象局</w:t>
                  </w:r>
                </w:p>
              </w:tc>
            </w:tr>
            <w:tr w14:paraId="0501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544" w:type="dxa"/>
                  <w:noWrap w:val="0"/>
                  <w:vAlign w:val="center"/>
                </w:tcPr>
                <w:p w14:paraId="7481DCB8">
                  <w:pPr>
                    <w:spacing w:line="360" w:lineRule="auto"/>
                    <w:jc w:val="center"/>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7116" w:type="dxa"/>
                  <w:noWrap w:val="0"/>
                  <w:vAlign w:val="center"/>
                </w:tcPr>
                <w:p w14:paraId="5B3E44F0">
                  <w:pPr>
                    <w:spacing w:line="360" w:lineRule="auto"/>
                    <w:jc w:val="center"/>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广东合正项目管理有限公司</w:t>
                  </w:r>
                </w:p>
              </w:tc>
            </w:tr>
          </w:tbl>
          <w:p w14:paraId="717C93B3">
            <w:pPr>
              <w:numPr>
                <w:ilvl w:val="0"/>
                <w:numId w:val="0"/>
              </w:numPr>
              <w:spacing w:line="240" w:lineRule="auto"/>
              <w:rPr>
                <w:rFonts w:hint="eastAsia" w:ascii="宋体" w:hAnsi="宋体" w:eastAsia="宋体" w:cs="宋体"/>
                <w:b w:val="0"/>
                <w:bCs w:val="0"/>
                <w:color w:val="auto"/>
                <w:sz w:val="21"/>
                <w:szCs w:val="21"/>
                <w:lang w:val="en-US" w:eastAsia="zh-CN"/>
              </w:rPr>
            </w:pPr>
          </w:p>
          <w:p w14:paraId="79D4CC6B">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二、采购需求一览表</w:t>
            </w:r>
          </w:p>
          <w:tbl>
            <w:tblPr>
              <w:tblStyle w:val="6"/>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1"/>
              <w:gridCol w:w="2187"/>
              <w:gridCol w:w="563"/>
              <w:gridCol w:w="1167"/>
              <w:gridCol w:w="1293"/>
              <w:gridCol w:w="1375"/>
            </w:tblGrid>
            <w:tr w14:paraId="53C23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 w:hRule="atLeast"/>
                <w:jc w:val="center"/>
              </w:trPr>
              <w:tc>
                <w:tcPr>
                  <w:tcW w:w="300" w:type="pct"/>
                  <w:tcBorders>
                    <w:tl2br w:val="nil"/>
                    <w:tr2bl w:val="nil"/>
                  </w:tcBorders>
                  <w:shd w:val="clear" w:color="auto" w:fill="FFFFFF"/>
                  <w:noWrap w:val="0"/>
                  <w:tcMar>
                    <w:top w:w="15" w:type="dxa"/>
                    <w:left w:w="15" w:type="dxa"/>
                    <w:right w:w="15" w:type="dxa"/>
                  </w:tcMar>
                  <w:vAlign w:val="center"/>
                </w:tcPr>
                <w:p w14:paraId="18278367">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561" w:type="pct"/>
                  <w:tcBorders>
                    <w:tl2br w:val="nil"/>
                    <w:tr2bl w:val="nil"/>
                  </w:tcBorders>
                  <w:shd w:val="clear" w:color="auto" w:fill="FFFFFF"/>
                  <w:noWrap w:val="0"/>
                  <w:tcMar>
                    <w:top w:w="15" w:type="dxa"/>
                    <w:left w:w="15" w:type="dxa"/>
                    <w:right w:w="15" w:type="dxa"/>
                  </w:tcMar>
                  <w:vAlign w:val="center"/>
                </w:tcPr>
                <w:p w14:paraId="359D9116">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402" w:type="pct"/>
                  <w:tcBorders>
                    <w:tl2br w:val="nil"/>
                    <w:tr2bl w:val="nil"/>
                  </w:tcBorders>
                  <w:shd w:val="clear" w:color="auto" w:fill="FFFFFF"/>
                  <w:noWrap w:val="0"/>
                  <w:tcMar>
                    <w:top w:w="15" w:type="dxa"/>
                    <w:left w:w="15" w:type="dxa"/>
                    <w:right w:w="15" w:type="dxa"/>
                  </w:tcMar>
                  <w:vAlign w:val="center"/>
                </w:tcPr>
                <w:p w14:paraId="7090AA5B">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833" w:type="pct"/>
                  <w:tcBorders>
                    <w:tl2br w:val="nil"/>
                    <w:tr2bl w:val="nil"/>
                  </w:tcBorders>
                  <w:shd w:val="clear" w:color="auto" w:fill="FFFFFF"/>
                  <w:noWrap w:val="0"/>
                  <w:tcMar>
                    <w:top w:w="15" w:type="dxa"/>
                    <w:left w:w="15" w:type="dxa"/>
                    <w:right w:w="15" w:type="dxa"/>
                  </w:tcMar>
                  <w:vAlign w:val="center"/>
                </w:tcPr>
                <w:p w14:paraId="04A93EE9">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923" w:type="pct"/>
                  <w:tcBorders>
                    <w:tl2br w:val="nil"/>
                    <w:tr2bl w:val="nil"/>
                  </w:tcBorders>
                  <w:shd w:val="clear" w:color="auto" w:fill="FFFFFF"/>
                  <w:noWrap w:val="0"/>
                  <w:tcMar>
                    <w:top w:w="15" w:type="dxa"/>
                    <w:left w:w="15" w:type="dxa"/>
                    <w:right w:w="15" w:type="dxa"/>
                  </w:tcMar>
                  <w:vAlign w:val="center"/>
                </w:tcPr>
                <w:p w14:paraId="6196E0E7">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980" w:type="pct"/>
                  <w:tcBorders>
                    <w:tl2br w:val="nil"/>
                    <w:tr2bl w:val="nil"/>
                  </w:tcBorders>
                  <w:shd w:val="clear" w:color="auto" w:fill="FFFFFF"/>
                  <w:noWrap w:val="0"/>
                  <w:tcMar>
                    <w:top w:w="15" w:type="dxa"/>
                    <w:left w:w="15" w:type="dxa"/>
                    <w:right w:w="15" w:type="dxa"/>
                  </w:tcMar>
                  <w:vAlign w:val="center"/>
                </w:tcPr>
                <w:p w14:paraId="150FD6D8">
                  <w:pPr>
                    <w:keepNext w:val="0"/>
                    <w:keepLines w:val="0"/>
                    <w:pageBreakBefore w:val="0"/>
                    <w:widowControl/>
                    <w:kinsoku/>
                    <w:wordWrap/>
                    <w:overflowPunct/>
                    <w:topLinePunct w:val="0"/>
                    <w:autoSpaceDE/>
                    <w:autoSpaceDN/>
                    <w:bidi w:val="0"/>
                    <w:snapToGrid/>
                    <w:spacing w:line="36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7E477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5000" w:type="pct"/>
                  <w:gridSpan w:val="6"/>
                  <w:tcBorders>
                    <w:tl2br w:val="nil"/>
                    <w:tr2bl w:val="nil"/>
                  </w:tcBorders>
                  <w:shd w:val="clear" w:color="auto" w:fill="FFFFFF"/>
                  <w:noWrap w:val="0"/>
                  <w:tcMar>
                    <w:top w:w="15" w:type="dxa"/>
                    <w:left w:w="15" w:type="dxa"/>
                    <w:right w:w="15" w:type="dxa"/>
                  </w:tcMar>
                  <w:vAlign w:val="center"/>
                </w:tcPr>
                <w:p w14:paraId="0652F9B7">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i w:val="0"/>
                      <w:iCs w:val="0"/>
                      <w:color w:val="auto"/>
                      <w:sz w:val="21"/>
                      <w:szCs w:val="21"/>
                      <w:highlight w:val="none"/>
                      <w:lang w:val="en-US" w:eastAsia="zh-CN"/>
                    </w:rPr>
                    <w:t>广东省翁源县气象局</w:t>
                  </w:r>
                </w:p>
              </w:tc>
            </w:tr>
            <w:tr w14:paraId="4F867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00" w:type="pct"/>
                  <w:tcBorders>
                    <w:tl2br w:val="nil"/>
                    <w:tr2bl w:val="nil"/>
                  </w:tcBorders>
                  <w:shd w:val="clear" w:color="auto" w:fill="FFFFFF"/>
                  <w:noWrap w:val="0"/>
                  <w:tcMar>
                    <w:top w:w="15" w:type="dxa"/>
                    <w:left w:w="15" w:type="dxa"/>
                    <w:right w:w="15" w:type="dxa"/>
                  </w:tcMar>
                  <w:vAlign w:val="center"/>
                </w:tcPr>
                <w:p w14:paraId="0B3A6A29">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561" w:type="pct"/>
                  <w:tcBorders>
                    <w:tl2br w:val="nil"/>
                    <w:tr2bl w:val="nil"/>
                  </w:tcBorders>
                  <w:shd w:val="clear" w:color="auto" w:fill="FFFFFF"/>
                  <w:noWrap w:val="0"/>
                  <w:tcMar>
                    <w:top w:w="15" w:type="dxa"/>
                    <w:left w:w="15" w:type="dxa"/>
                    <w:right w:w="15" w:type="dxa"/>
                  </w:tcMar>
                  <w:vAlign w:val="center"/>
                </w:tcPr>
                <w:p w14:paraId="74F4E7B3">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火箭通用发射架</w:t>
                  </w:r>
                </w:p>
              </w:tc>
              <w:tc>
                <w:tcPr>
                  <w:tcW w:w="402" w:type="pct"/>
                  <w:tcBorders>
                    <w:tl2br w:val="nil"/>
                    <w:tr2bl w:val="nil"/>
                  </w:tcBorders>
                  <w:shd w:val="clear" w:color="auto" w:fill="FFFFFF"/>
                  <w:noWrap w:val="0"/>
                  <w:tcMar>
                    <w:top w:w="15" w:type="dxa"/>
                    <w:left w:w="15" w:type="dxa"/>
                    <w:right w:w="15" w:type="dxa"/>
                  </w:tcMar>
                  <w:vAlign w:val="center"/>
                </w:tcPr>
                <w:p w14:paraId="357E26BA">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restart"/>
                  <w:tcBorders>
                    <w:tl2br w:val="nil"/>
                    <w:tr2bl w:val="nil"/>
                  </w:tcBorders>
                  <w:shd w:val="clear" w:color="auto" w:fill="FFFFFF"/>
                  <w:noWrap w:val="0"/>
                  <w:tcMar>
                    <w:top w:w="15" w:type="dxa"/>
                    <w:left w:w="15" w:type="dxa"/>
                    <w:right w:w="15" w:type="dxa"/>
                  </w:tcMar>
                  <w:vAlign w:val="center"/>
                </w:tcPr>
                <w:p w14:paraId="0AE5683E">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详见“采购项目技术要求”内容</w:t>
                  </w:r>
                </w:p>
              </w:tc>
              <w:tc>
                <w:tcPr>
                  <w:tcW w:w="923" w:type="pct"/>
                  <w:vMerge w:val="restart"/>
                  <w:tcBorders>
                    <w:tl2br w:val="nil"/>
                    <w:tr2bl w:val="nil"/>
                  </w:tcBorders>
                  <w:shd w:val="clear" w:color="auto" w:fill="FFFFFF"/>
                  <w:noWrap w:val="0"/>
                  <w:tcMar>
                    <w:top w:w="15" w:type="dxa"/>
                    <w:left w:w="15" w:type="dxa"/>
                    <w:right w:w="15" w:type="dxa"/>
                  </w:tcMar>
                  <w:vAlign w:val="center"/>
                </w:tcPr>
                <w:p w14:paraId="15769568">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合同签订之日起一年内</w:t>
                  </w:r>
                </w:p>
              </w:tc>
              <w:tc>
                <w:tcPr>
                  <w:tcW w:w="980" w:type="pct"/>
                  <w:vMerge w:val="restart"/>
                  <w:tcBorders>
                    <w:tl2br w:val="nil"/>
                    <w:tr2bl w:val="nil"/>
                  </w:tcBorders>
                  <w:shd w:val="clear" w:color="auto" w:fill="FFFFFF"/>
                  <w:noWrap w:val="0"/>
                  <w:tcMar>
                    <w:top w:w="15" w:type="dxa"/>
                    <w:left w:w="15" w:type="dxa"/>
                    <w:right w:w="15" w:type="dxa"/>
                  </w:tcMar>
                  <w:vAlign w:val="center"/>
                </w:tcPr>
                <w:p w14:paraId="5E2F92AB">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240,000.00</w:t>
                  </w:r>
                </w:p>
              </w:tc>
            </w:tr>
            <w:tr w14:paraId="4D3FD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00" w:type="pct"/>
                  <w:tcBorders>
                    <w:tl2br w:val="nil"/>
                    <w:tr2bl w:val="nil"/>
                  </w:tcBorders>
                  <w:shd w:val="clear" w:color="auto" w:fill="FFFFFF"/>
                  <w:noWrap w:val="0"/>
                  <w:tcMar>
                    <w:top w:w="15" w:type="dxa"/>
                    <w:left w:w="15" w:type="dxa"/>
                    <w:right w:w="15" w:type="dxa"/>
                  </w:tcMar>
                  <w:vAlign w:val="center"/>
                </w:tcPr>
                <w:p w14:paraId="3E6D4C29">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561" w:type="pct"/>
                  <w:tcBorders>
                    <w:tl2br w:val="nil"/>
                    <w:tr2bl w:val="nil"/>
                  </w:tcBorders>
                  <w:shd w:val="clear" w:color="auto" w:fill="FFFFFF"/>
                  <w:noWrap w:val="0"/>
                  <w:tcMar>
                    <w:top w:w="15" w:type="dxa"/>
                    <w:left w:w="15" w:type="dxa"/>
                    <w:right w:w="15" w:type="dxa"/>
                  </w:tcMar>
                  <w:vAlign w:val="center"/>
                </w:tcPr>
                <w:p w14:paraId="0F4043EB">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火箭作业安全监控终端</w:t>
                  </w:r>
                </w:p>
              </w:tc>
              <w:tc>
                <w:tcPr>
                  <w:tcW w:w="402" w:type="pct"/>
                  <w:tcBorders>
                    <w:tl2br w:val="nil"/>
                    <w:tr2bl w:val="nil"/>
                  </w:tcBorders>
                  <w:shd w:val="clear" w:color="auto" w:fill="FFFFFF"/>
                  <w:noWrap w:val="0"/>
                  <w:tcMar>
                    <w:top w:w="15" w:type="dxa"/>
                    <w:left w:w="15" w:type="dxa"/>
                    <w:right w:w="15" w:type="dxa"/>
                  </w:tcMar>
                  <w:vAlign w:val="center"/>
                </w:tcPr>
                <w:p w14:paraId="02ED2B23">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tl2br w:val="nil"/>
                    <w:tr2bl w:val="nil"/>
                  </w:tcBorders>
                  <w:shd w:val="clear" w:color="auto" w:fill="FFFFFF"/>
                  <w:noWrap w:val="0"/>
                  <w:tcMar>
                    <w:top w:w="15" w:type="dxa"/>
                    <w:left w:w="15" w:type="dxa"/>
                    <w:right w:w="15" w:type="dxa"/>
                  </w:tcMar>
                  <w:vAlign w:val="center"/>
                </w:tcPr>
                <w:p w14:paraId="5FCB82E5">
                  <w:pPr>
                    <w:spacing w:line="360" w:lineRule="auto"/>
                    <w:jc w:val="center"/>
                    <w:rPr>
                      <w:rFonts w:hint="eastAsia" w:ascii="宋体" w:hAnsi="宋体" w:eastAsia="宋体" w:cs="宋体"/>
                      <w:sz w:val="21"/>
                      <w:szCs w:val="21"/>
                      <w:lang w:val="en-US" w:eastAsia="zh-CN"/>
                    </w:rPr>
                  </w:pPr>
                </w:p>
              </w:tc>
              <w:tc>
                <w:tcPr>
                  <w:tcW w:w="923" w:type="pct"/>
                  <w:vMerge w:val="continue"/>
                  <w:tcBorders>
                    <w:tl2br w:val="nil"/>
                    <w:tr2bl w:val="nil"/>
                  </w:tcBorders>
                  <w:shd w:val="clear" w:color="auto" w:fill="FFFFFF"/>
                  <w:noWrap w:val="0"/>
                  <w:tcMar>
                    <w:top w:w="15" w:type="dxa"/>
                    <w:left w:w="15" w:type="dxa"/>
                    <w:right w:w="15" w:type="dxa"/>
                  </w:tcMar>
                  <w:vAlign w:val="center"/>
                </w:tcPr>
                <w:p w14:paraId="120C85B7">
                  <w:pPr>
                    <w:spacing w:line="360" w:lineRule="auto"/>
                    <w:jc w:val="center"/>
                    <w:rPr>
                      <w:rFonts w:hint="eastAsia" w:ascii="宋体" w:hAnsi="宋体" w:eastAsia="宋体" w:cs="宋体"/>
                      <w:sz w:val="21"/>
                      <w:szCs w:val="21"/>
                      <w:lang w:val="en-US" w:eastAsia="zh-CN"/>
                    </w:rPr>
                  </w:pPr>
                </w:p>
              </w:tc>
              <w:tc>
                <w:tcPr>
                  <w:tcW w:w="980" w:type="pct"/>
                  <w:vMerge w:val="continue"/>
                  <w:tcBorders>
                    <w:tl2br w:val="nil"/>
                    <w:tr2bl w:val="nil"/>
                  </w:tcBorders>
                  <w:shd w:val="clear" w:color="auto" w:fill="FFFFFF"/>
                  <w:noWrap w:val="0"/>
                  <w:tcMar>
                    <w:top w:w="15" w:type="dxa"/>
                    <w:left w:w="15" w:type="dxa"/>
                    <w:right w:w="15" w:type="dxa"/>
                  </w:tcMar>
                  <w:vAlign w:val="center"/>
                </w:tcPr>
                <w:p w14:paraId="516AF523">
                  <w:pPr>
                    <w:spacing w:line="360" w:lineRule="auto"/>
                    <w:jc w:val="center"/>
                    <w:rPr>
                      <w:rFonts w:hint="eastAsia" w:ascii="宋体" w:hAnsi="宋体" w:eastAsia="宋体" w:cs="宋体"/>
                      <w:sz w:val="21"/>
                      <w:szCs w:val="21"/>
                      <w:lang w:val="en-US" w:eastAsia="zh-CN"/>
                    </w:rPr>
                  </w:pPr>
                </w:p>
              </w:tc>
            </w:tr>
            <w:tr w14:paraId="4D902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00" w:type="pct"/>
                  <w:tcBorders>
                    <w:tl2br w:val="nil"/>
                    <w:tr2bl w:val="nil"/>
                  </w:tcBorders>
                  <w:shd w:val="clear" w:color="auto" w:fill="FFFFFF"/>
                  <w:noWrap w:val="0"/>
                  <w:tcMar>
                    <w:top w:w="15" w:type="dxa"/>
                    <w:left w:w="15" w:type="dxa"/>
                    <w:right w:w="15" w:type="dxa"/>
                  </w:tcMar>
                  <w:vAlign w:val="center"/>
                </w:tcPr>
                <w:p w14:paraId="765FABC4">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561" w:type="pct"/>
                  <w:tcBorders>
                    <w:tl2br w:val="nil"/>
                    <w:tr2bl w:val="nil"/>
                  </w:tcBorders>
                  <w:shd w:val="clear" w:color="auto" w:fill="FFFFFF"/>
                  <w:noWrap w:val="0"/>
                  <w:tcMar>
                    <w:top w:w="15" w:type="dxa"/>
                    <w:left w:w="15" w:type="dxa"/>
                    <w:right w:w="15" w:type="dxa"/>
                  </w:tcMar>
                  <w:vAlign w:val="center"/>
                </w:tcPr>
                <w:p w14:paraId="70461EC4">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基于三码绑定的人工影响天气火箭发射安全锁控系统</w:t>
                  </w:r>
                </w:p>
              </w:tc>
              <w:tc>
                <w:tcPr>
                  <w:tcW w:w="402" w:type="pct"/>
                  <w:tcBorders>
                    <w:tl2br w:val="nil"/>
                    <w:tr2bl w:val="nil"/>
                  </w:tcBorders>
                  <w:shd w:val="clear" w:color="auto" w:fill="FFFFFF"/>
                  <w:noWrap w:val="0"/>
                  <w:tcMar>
                    <w:top w:w="15" w:type="dxa"/>
                    <w:left w:w="15" w:type="dxa"/>
                    <w:right w:w="15" w:type="dxa"/>
                  </w:tcMar>
                  <w:vAlign w:val="center"/>
                </w:tcPr>
                <w:p w14:paraId="551415F4">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tl2br w:val="nil"/>
                    <w:tr2bl w:val="nil"/>
                  </w:tcBorders>
                  <w:shd w:val="clear" w:color="auto" w:fill="FFFFFF"/>
                  <w:noWrap w:val="0"/>
                  <w:tcMar>
                    <w:top w:w="15" w:type="dxa"/>
                    <w:left w:w="15" w:type="dxa"/>
                    <w:right w:w="15" w:type="dxa"/>
                  </w:tcMar>
                  <w:vAlign w:val="center"/>
                </w:tcPr>
                <w:p w14:paraId="51465A70">
                  <w:pPr>
                    <w:spacing w:line="360" w:lineRule="auto"/>
                    <w:jc w:val="center"/>
                    <w:rPr>
                      <w:rFonts w:hint="eastAsia" w:ascii="宋体" w:hAnsi="宋体" w:eastAsia="宋体" w:cs="宋体"/>
                      <w:sz w:val="21"/>
                      <w:szCs w:val="21"/>
                      <w:lang w:val="en-US" w:eastAsia="zh-CN"/>
                    </w:rPr>
                  </w:pPr>
                </w:p>
              </w:tc>
              <w:tc>
                <w:tcPr>
                  <w:tcW w:w="923" w:type="pct"/>
                  <w:vMerge w:val="continue"/>
                  <w:tcBorders>
                    <w:tl2br w:val="nil"/>
                    <w:tr2bl w:val="nil"/>
                  </w:tcBorders>
                  <w:shd w:val="clear" w:color="auto" w:fill="FFFFFF"/>
                  <w:noWrap w:val="0"/>
                  <w:tcMar>
                    <w:top w:w="15" w:type="dxa"/>
                    <w:left w:w="15" w:type="dxa"/>
                    <w:right w:w="15" w:type="dxa"/>
                  </w:tcMar>
                  <w:vAlign w:val="center"/>
                </w:tcPr>
                <w:p w14:paraId="34326923">
                  <w:pPr>
                    <w:spacing w:line="360" w:lineRule="auto"/>
                    <w:jc w:val="center"/>
                    <w:rPr>
                      <w:rFonts w:hint="eastAsia" w:ascii="宋体" w:hAnsi="宋体" w:eastAsia="宋体" w:cs="宋体"/>
                      <w:sz w:val="21"/>
                      <w:szCs w:val="21"/>
                      <w:lang w:val="en-US" w:eastAsia="zh-CN"/>
                    </w:rPr>
                  </w:pPr>
                </w:p>
              </w:tc>
              <w:tc>
                <w:tcPr>
                  <w:tcW w:w="980" w:type="pct"/>
                  <w:vMerge w:val="continue"/>
                  <w:tcBorders>
                    <w:tl2br w:val="nil"/>
                    <w:tr2bl w:val="nil"/>
                  </w:tcBorders>
                  <w:shd w:val="clear" w:color="auto" w:fill="FFFFFF"/>
                  <w:noWrap w:val="0"/>
                  <w:tcMar>
                    <w:top w:w="15" w:type="dxa"/>
                    <w:left w:w="15" w:type="dxa"/>
                    <w:right w:w="15" w:type="dxa"/>
                  </w:tcMar>
                  <w:vAlign w:val="center"/>
                </w:tcPr>
                <w:p w14:paraId="1EC37939">
                  <w:pPr>
                    <w:spacing w:line="360" w:lineRule="auto"/>
                    <w:jc w:val="center"/>
                    <w:rPr>
                      <w:rFonts w:hint="eastAsia" w:ascii="宋体" w:hAnsi="宋体" w:eastAsia="宋体" w:cs="宋体"/>
                      <w:sz w:val="21"/>
                      <w:szCs w:val="21"/>
                      <w:lang w:val="en-US" w:eastAsia="zh-CN"/>
                    </w:rPr>
                  </w:pPr>
                </w:p>
              </w:tc>
            </w:tr>
            <w:tr w14:paraId="0A64D1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5000" w:type="pct"/>
                  <w:gridSpan w:val="6"/>
                  <w:tcBorders>
                    <w:tl2br w:val="nil"/>
                    <w:tr2bl w:val="nil"/>
                  </w:tcBorders>
                  <w:shd w:val="clear" w:color="auto" w:fill="FFFFFF"/>
                  <w:noWrap w:val="0"/>
                  <w:tcMar>
                    <w:top w:w="15" w:type="dxa"/>
                    <w:left w:w="15" w:type="dxa"/>
                    <w:right w:w="15" w:type="dxa"/>
                  </w:tcMar>
                  <w:vAlign w:val="center"/>
                </w:tcPr>
                <w:p w14:paraId="0036822E">
                  <w:pPr>
                    <w:spacing w:line="360" w:lineRule="auto"/>
                    <w:jc w:val="center"/>
                    <w:rPr>
                      <w:rFonts w:hint="eastAsia" w:ascii="宋体" w:hAnsi="宋体" w:eastAsia="宋体" w:cs="宋体"/>
                      <w:sz w:val="21"/>
                      <w:szCs w:val="21"/>
                      <w:lang w:val="en-US" w:eastAsia="zh-CN"/>
                    </w:rPr>
                  </w:pPr>
                  <w:r>
                    <w:rPr>
                      <w:rFonts w:hint="eastAsia" w:ascii="宋体" w:hAnsi="宋体" w:eastAsia="宋体" w:cs="宋体"/>
                      <w:b/>
                      <w:bCs/>
                      <w:i w:val="0"/>
                      <w:iCs w:val="0"/>
                      <w:color w:val="auto"/>
                      <w:sz w:val="21"/>
                      <w:szCs w:val="21"/>
                      <w:highlight w:val="none"/>
                      <w:lang w:val="en-US" w:eastAsia="zh-CN"/>
                    </w:rPr>
                    <w:t>广东省始兴县气象局</w:t>
                  </w:r>
                </w:p>
              </w:tc>
            </w:tr>
            <w:tr w14:paraId="0E745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00" w:type="pct"/>
                  <w:tcBorders>
                    <w:tl2br w:val="nil"/>
                    <w:tr2bl w:val="nil"/>
                  </w:tcBorders>
                  <w:shd w:val="clear" w:color="auto" w:fill="FFFFFF"/>
                  <w:noWrap w:val="0"/>
                  <w:tcMar>
                    <w:top w:w="15" w:type="dxa"/>
                    <w:left w:w="15" w:type="dxa"/>
                    <w:right w:w="15" w:type="dxa"/>
                  </w:tcMar>
                  <w:vAlign w:val="center"/>
                </w:tcPr>
                <w:p w14:paraId="734E1311">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561" w:type="pct"/>
                  <w:tcBorders>
                    <w:tl2br w:val="nil"/>
                    <w:tr2bl w:val="nil"/>
                  </w:tcBorders>
                  <w:shd w:val="clear" w:color="auto" w:fill="FFFFFF"/>
                  <w:noWrap w:val="0"/>
                  <w:tcMar>
                    <w:top w:w="15" w:type="dxa"/>
                    <w:left w:w="15" w:type="dxa"/>
                    <w:right w:w="15" w:type="dxa"/>
                  </w:tcMar>
                  <w:vAlign w:val="center"/>
                </w:tcPr>
                <w:p w14:paraId="71CBA41E">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火箭通用发射架</w:t>
                  </w:r>
                </w:p>
              </w:tc>
              <w:tc>
                <w:tcPr>
                  <w:tcW w:w="402" w:type="pct"/>
                  <w:tcBorders>
                    <w:tl2br w:val="nil"/>
                    <w:tr2bl w:val="nil"/>
                  </w:tcBorders>
                  <w:shd w:val="clear" w:color="auto" w:fill="FFFFFF"/>
                  <w:noWrap w:val="0"/>
                  <w:tcMar>
                    <w:top w:w="15" w:type="dxa"/>
                    <w:left w:w="15" w:type="dxa"/>
                    <w:right w:w="15" w:type="dxa"/>
                  </w:tcMar>
                  <w:vAlign w:val="center"/>
                </w:tcPr>
                <w:p w14:paraId="29B7D976">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restart"/>
                  <w:tcBorders>
                    <w:tl2br w:val="nil"/>
                    <w:tr2bl w:val="nil"/>
                  </w:tcBorders>
                  <w:shd w:val="clear" w:color="auto" w:fill="FFFFFF"/>
                  <w:noWrap w:val="0"/>
                  <w:tcMar>
                    <w:top w:w="15" w:type="dxa"/>
                    <w:left w:w="15" w:type="dxa"/>
                    <w:right w:w="15" w:type="dxa"/>
                  </w:tcMar>
                  <w:vAlign w:val="center"/>
                </w:tcPr>
                <w:p w14:paraId="4810E146">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详见“采购项目技术要求”内容</w:t>
                  </w:r>
                </w:p>
              </w:tc>
              <w:tc>
                <w:tcPr>
                  <w:tcW w:w="923" w:type="pct"/>
                  <w:vMerge w:val="restart"/>
                  <w:tcBorders>
                    <w:tl2br w:val="nil"/>
                    <w:tr2bl w:val="nil"/>
                  </w:tcBorders>
                  <w:shd w:val="clear" w:color="auto" w:fill="FFFFFF"/>
                  <w:noWrap w:val="0"/>
                  <w:tcMar>
                    <w:top w:w="15" w:type="dxa"/>
                    <w:left w:w="15" w:type="dxa"/>
                    <w:right w:w="15" w:type="dxa"/>
                  </w:tcMar>
                  <w:vAlign w:val="center"/>
                </w:tcPr>
                <w:p w14:paraId="45278025">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合同签订之日起一年内</w:t>
                  </w:r>
                </w:p>
              </w:tc>
              <w:tc>
                <w:tcPr>
                  <w:tcW w:w="980" w:type="pct"/>
                  <w:vMerge w:val="restart"/>
                  <w:tcBorders>
                    <w:tl2br w:val="nil"/>
                    <w:tr2bl w:val="nil"/>
                  </w:tcBorders>
                  <w:shd w:val="clear" w:color="auto" w:fill="FFFFFF"/>
                  <w:noWrap w:val="0"/>
                  <w:tcMar>
                    <w:top w:w="15" w:type="dxa"/>
                    <w:left w:w="15" w:type="dxa"/>
                    <w:right w:w="15" w:type="dxa"/>
                  </w:tcMar>
                  <w:vAlign w:val="center"/>
                </w:tcPr>
                <w:p w14:paraId="71C068F8">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240,000.00</w:t>
                  </w:r>
                </w:p>
              </w:tc>
            </w:tr>
            <w:tr w14:paraId="1AF06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00" w:type="pct"/>
                  <w:tcBorders>
                    <w:tl2br w:val="nil"/>
                    <w:tr2bl w:val="nil"/>
                  </w:tcBorders>
                  <w:shd w:val="clear" w:color="auto" w:fill="FFFFFF"/>
                  <w:noWrap w:val="0"/>
                  <w:tcMar>
                    <w:top w:w="15" w:type="dxa"/>
                    <w:left w:w="15" w:type="dxa"/>
                    <w:right w:w="15" w:type="dxa"/>
                  </w:tcMar>
                  <w:vAlign w:val="center"/>
                </w:tcPr>
                <w:p w14:paraId="2EC9A1C8">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561" w:type="pct"/>
                  <w:tcBorders>
                    <w:tl2br w:val="nil"/>
                    <w:tr2bl w:val="nil"/>
                  </w:tcBorders>
                  <w:shd w:val="clear" w:color="auto" w:fill="FFFFFF"/>
                  <w:noWrap w:val="0"/>
                  <w:tcMar>
                    <w:top w:w="15" w:type="dxa"/>
                    <w:left w:w="15" w:type="dxa"/>
                    <w:right w:w="15" w:type="dxa"/>
                  </w:tcMar>
                  <w:vAlign w:val="center"/>
                </w:tcPr>
                <w:p w14:paraId="4FE0EF1F">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火箭作业安全监控终端</w:t>
                  </w:r>
                </w:p>
              </w:tc>
              <w:tc>
                <w:tcPr>
                  <w:tcW w:w="402" w:type="pct"/>
                  <w:tcBorders>
                    <w:tl2br w:val="nil"/>
                    <w:tr2bl w:val="nil"/>
                  </w:tcBorders>
                  <w:shd w:val="clear" w:color="auto" w:fill="FFFFFF"/>
                  <w:noWrap w:val="0"/>
                  <w:tcMar>
                    <w:top w:w="15" w:type="dxa"/>
                    <w:left w:w="15" w:type="dxa"/>
                    <w:right w:w="15" w:type="dxa"/>
                  </w:tcMar>
                  <w:vAlign w:val="center"/>
                </w:tcPr>
                <w:p w14:paraId="7A6596F5">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tl2br w:val="nil"/>
                    <w:tr2bl w:val="nil"/>
                  </w:tcBorders>
                  <w:shd w:val="clear" w:color="auto" w:fill="FFFFFF"/>
                  <w:noWrap w:val="0"/>
                  <w:tcMar>
                    <w:top w:w="15" w:type="dxa"/>
                    <w:left w:w="15" w:type="dxa"/>
                    <w:right w:w="15" w:type="dxa"/>
                  </w:tcMar>
                  <w:vAlign w:val="center"/>
                </w:tcPr>
                <w:p w14:paraId="5FFDBB2E">
                  <w:pPr>
                    <w:spacing w:line="360" w:lineRule="auto"/>
                    <w:jc w:val="center"/>
                    <w:rPr>
                      <w:rFonts w:hint="eastAsia" w:ascii="宋体" w:hAnsi="宋体" w:eastAsia="宋体" w:cs="宋体"/>
                      <w:sz w:val="21"/>
                      <w:szCs w:val="21"/>
                      <w:lang w:val="en-US" w:eastAsia="zh-CN"/>
                    </w:rPr>
                  </w:pPr>
                </w:p>
              </w:tc>
              <w:tc>
                <w:tcPr>
                  <w:tcW w:w="923" w:type="pct"/>
                  <w:vMerge w:val="continue"/>
                  <w:tcBorders>
                    <w:tl2br w:val="nil"/>
                    <w:tr2bl w:val="nil"/>
                  </w:tcBorders>
                  <w:shd w:val="clear" w:color="auto" w:fill="FFFFFF"/>
                  <w:noWrap w:val="0"/>
                  <w:tcMar>
                    <w:top w:w="15" w:type="dxa"/>
                    <w:left w:w="15" w:type="dxa"/>
                    <w:right w:w="15" w:type="dxa"/>
                  </w:tcMar>
                  <w:vAlign w:val="center"/>
                </w:tcPr>
                <w:p w14:paraId="0AC8D78F">
                  <w:pPr>
                    <w:spacing w:line="360" w:lineRule="auto"/>
                    <w:jc w:val="center"/>
                    <w:rPr>
                      <w:rFonts w:hint="eastAsia" w:ascii="宋体" w:hAnsi="宋体" w:eastAsia="宋体" w:cs="宋体"/>
                      <w:sz w:val="21"/>
                      <w:szCs w:val="21"/>
                      <w:lang w:val="en-US" w:eastAsia="zh-CN"/>
                    </w:rPr>
                  </w:pPr>
                </w:p>
              </w:tc>
              <w:tc>
                <w:tcPr>
                  <w:tcW w:w="980" w:type="pct"/>
                  <w:vMerge w:val="continue"/>
                  <w:tcBorders>
                    <w:tl2br w:val="nil"/>
                    <w:tr2bl w:val="nil"/>
                  </w:tcBorders>
                  <w:shd w:val="clear" w:color="auto" w:fill="FFFFFF"/>
                  <w:noWrap w:val="0"/>
                  <w:tcMar>
                    <w:top w:w="15" w:type="dxa"/>
                    <w:left w:w="15" w:type="dxa"/>
                    <w:right w:w="15" w:type="dxa"/>
                  </w:tcMar>
                  <w:vAlign w:val="center"/>
                </w:tcPr>
                <w:p w14:paraId="336DDE92">
                  <w:pPr>
                    <w:spacing w:line="360" w:lineRule="auto"/>
                    <w:jc w:val="center"/>
                    <w:rPr>
                      <w:rFonts w:hint="eastAsia" w:ascii="宋体" w:hAnsi="宋体" w:eastAsia="宋体" w:cs="宋体"/>
                      <w:sz w:val="21"/>
                      <w:szCs w:val="21"/>
                      <w:lang w:val="en-US" w:eastAsia="zh-CN"/>
                    </w:rPr>
                  </w:pPr>
                </w:p>
              </w:tc>
            </w:tr>
            <w:tr w14:paraId="19772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300" w:type="pct"/>
                  <w:tcBorders>
                    <w:tl2br w:val="nil"/>
                    <w:tr2bl w:val="nil"/>
                  </w:tcBorders>
                  <w:shd w:val="clear" w:color="auto" w:fill="FFFFFF"/>
                  <w:noWrap w:val="0"/>
                  <w:tcMar>
                    <w:top w:w="15" w:type="dxa"/>
                    <w:left w:w="15" w:type="dxa"/>
                    <w:right w:w="15" w:type="dxa"/>
                  </w:tcMar>
                  <w:vAlign w:val="center"/>
                </w:tcPr>
                <w:p w14:paraId="17E2FF24">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561" w:type="pct"/>
                  <w:tcBorders>
                    <w:tl2br w:val="nil"/>
                    <w:tr2bl w:val="nil"/>
                  </w:tcBorders>
                  <w:shd w:val="clear" w:color="auto" w:fill="FFFFFF"/>
                  <w:noWrap w:val="0"/>
                  <w:tcMar>
                    <w:top w:w="15" w:type="dxa"/>
                    <w:left w:w="15" w:type="dxa"/>
                    <w:right w:w="15" w:type="dxa"/>
                  </w:tcMar>
                  <w:vAlign w:val="center"/>
                </w:tcPr>
                <w:p w14:paraId="064A23B1">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基于三码绑定的人工影响天气火箭发射安全锁控系统</w:t>
                  </w:r>
                </w:p>
              </w:tc>
              <w:tc>
                <w:tcPr>
                  <w:tcW w:w="402" w:type="pct"/>
                  <w:tcBorders>
                    <w:tl2br w:val="nil"/>
                    <w:tr2bl w:val="nil"/>
                  </w:tcBorders>
                  <w:shd w:val="clear" w:color="auto" w:fill="FFFFFF"/>
                  <w:noWrap w:val="0"/>
                  <w:tcMar>
                    <w:top w:w="15" w:type="dxa"/>
                    <w:left w:w="15" w:type="dxa"/>
                    <w:right w:w="15" w:type="dxa"/>
                  </w:tcMar>
                  <w:vAlign w:val="center"/>
                </w:tcPr>
                <w:p w14:paraId="6D805980">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tl2br w:val="nil"/>
                    <w:tr2bl w:val="nil"/>
                  </w:tcBorders>
                  <w:shd w:val="clear" w:color="auto" w:fill="FFFFFF"/>
                  <w:noWrap w:val="0"/>
                  <w:tcMar>
                    <w:top w:w="15" w:type="dxa"/>
                    <w:left w:w="15" w:type="dxa"/>
                    <w:right w:w="15" w:type="dxa"/>
                  </w:tcMar>
                  <w:vAlign w:val="center"/>
                </w:tcPr>
                <w:p w14:paraId="4D11EFD3">
                  <w:pPr>
                    <w:spacing w:line="360" w:lineRule="auto"/>
                    <w:jc w:val="center"/>
                    <w:rPr>
                      <w:rFonts w:hint="eastAsia" w:ascii="宋体" w:hAnsi="宋体" w:eastAsia="宋体" w:cs="宋体"/>
                      <w:sz w:val="21"/>
                      <w:szCs w:val="21"/>
                      <w:lang w:val="en-US" w:eastAsia="zh-CN"/>
                    </w:rPr>
                  </w:pPr>
                </w:p>
              </w:tc>
              <w:tc>
                <w:tcPr>
                  <w:tcW w:w="923" w:type="pct"/>
                  <w:vMerge w:val="continue"/>
                  <w:tcBorders>
                    <w:tl2br w:val="nil"/>
                    <w:tr2bl w:val="nil"/>
                  </w:tcBorders>
                  <w:shd w:val="clear" w:color="auto" w:fill="FFFFFF"/>
                  <w:noWrap w:val="0"/>
                  <w:tcMar>
                    <w:top w:w="15" w:type="dxa"/>
                    <w:left w:w="15" w:type="dxa"/>
                    <w:right w:w="15" w:type="dxa"/>
                  </w:tcMar>
                  <w:vAlign w:val="center"/>
                </w:tcPr>
                <w:p w14:paraId="44F9CC5A">
                  <w:pPr>
                    <w:spacing w:line="360" w:lineRule="auto"/>
                    <w:jc w:val="center"/>
                    <w:rPr>
                      <w:rFonts w:hint="eastAsia" w:ascii="宋体" w:hAnsi="宋体" w:eastAsia="宋体" w:cs="宋体"/>
                      <w:sz w:val="21"/>
                      <w:szCs w:val="21"/>
                      <w:lang w:val="en-US" w:eastAsia="zh-CN"/>
                    </w:rPr>
                  </w:pPr>
                </w:p>
              </w:tc>
              <w:tc>
                <w:tcPr>
                  <w:tcW w:w="980" w:type="pct"/>
                  <w:vMerge w:val="continue"/>
                  <w:tcBorders>
                    <w:tl2br w:val="nil"/>
                    <w:tr2bl w:val="nil"/>
                  </w:tcBorders>
                  <w:shd w:val="clear" w:color="auto" w:fill="FFFFFF"/>
                  <w:noWrap w:val="0"/>
                  <w:tcMar>
                    <w:top w:w="15" w:type="dxa"/>
                    <w:left w:w="15" w:type="dxa"/>
                    <w:right w:w="15" w:type="dxa"/>
                  </w:tcMar>
                  <w:vAlign w:val="center"/>
                </w:tcPr>
                <w:p w14:paraId="46D6A98D">
                  <w:pPr>
                    <w:spacing w:line="360" w:lineRule="auto"/>
                    <w:jc w:val="center"/>
                    <w:rPr>
                      <w:rFonts w:hint="eastAsia" w:ascii="宋体" w:hAnsi="宋体" w:eastAsia="宋体" w:cs="宋体"/>
                      <w:sz w:val="21"/>
                      <w:szCs w:val="21"/>
                      <w:lang w:val="en-US" w:eastAsia="zh-CN"/>
                    </w:rPr>
                  </w:pPr>
                </w:p>
              </w:tc>
            </w:tr>
            <w:tr w14:paraId="5C4FD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8331" w:type="dxa"/>
                  <w:gridSpan w:val="6"/>
                  <w:tcBorders>
                    <w:tl2br w:val="nil"/>
                    <w:tr2bl w:val="nil"/>
                  </w:tcBorders>
                  <w:shd w:val="clear" w:color="auto" w:fill="FFFFFF"/>
                  <w:noWrap w:val="0"/>
                  <w:tcMar>
                    <w:top w:w="15" w:type="dxa"/>
                    <w:left w:w="15" w:type="dxa"/>
                    <w:right w:w="15" w:type="dxa"/>
                  </w:tcMar>
                  <w:vAlign w:val="center"/>
                </w:tcPr>
                <w:p w14:paraId="63224223">
                  <w:pPr>
                    <w:spacing w:line="360" w:lineRule="auto"/>
                    <w:jc w:val="center"/>
                    <w:rPr>
                      <w:rFonts w:hint="eastAsia" w:ascii="宋体" w:hAnsi="宋体" w:eastAsia="宋体" w:cs="宋体"/>
                      <w:sz w:val="21"/>
                      <w:szCs w:val="21"/>
                      <w:lang w:val="en-US" w:eastAsia="zh-CN"/>
                    </w:rPr>
                  </w:pPr>
                  <w:r>
                    <w:rPr>
                      <w:rFonts w:hint="eastAsia" w:ascii="宋体" w:hAnsi="宋体" w:eastAsia="宋体" w:cs="宋体"/>
                      <w:b/>
                      <w:bCs/>
                      <w:i w:val="0"/>
                      <w:iCs w:val="0"/>
                      <w:color w:val="auto"/>
                      <w:sz w:val="21"/>
                      <w:szCs w:val="21"/>
                      <w:highlight w:val="none"/>
                      <w:lang w:val="en-US" w:eastAsia="zh-CN"/>
                    </w:rPr>
                    <w:t>广东省乳源瑶族自治县气象局</w:t>
                  </w:r>
                </w:p>
              </w:tc>
            </w:tr>
            <w:tr w14:paraId="7B5DC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499" w:type="dxa"/>
                  <w:tcBorders>
                    <w:tl2br w:val="nil"/>
                    <w:tr2bl w:val="nil"/>
                  </w:tcBorders>
                  <w:shd w:val="clear" w:color="auto" w:fill="FFFFFF"/>
                  <w:noWrap w:val="0"/>
                  <w:tcMar>
                    <w:top w:w="15" w:type="dxa"/>
                    <w:left w:w="15" w:type="dxa"/>
                    <w:right w:w="15" w:type="dxa"/>
                  </w:tcMar>
                  <w:vAlign w:val="center"/>
                </w:tcPr>
                <w:p w14:paraId="4AFD39D8">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601" w:type="dxa"/>
                  <w:tcBorders>
                    <w:tl2br w:val="nil"/>
                    <w:tr2bl w:val="nil"/>
                  </w:tcBorders>
                  <w:shd w:val="clear" w:color="auto" w:fill="FFFFFF"/>
                  <w:noWrap w:val="0"/>
                  <w:tcMar>
                    <w:top w:w="15" w:type="dxa"/>
                    <w:left w:w="15" w:type="dxa"/>
                    <w:right w:w="15" w:type="dxa"/>
                  </w:tcMar>
                  <w:vAlign w:val="center"/>
                </w:tcPr>
                <w:p w14:paraId="5DF0A349">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火箭通用发射架</w:t>
                  </w:r>
                </w:p>
              </w:tc>
              <w:tc>
                <w:tcPr>
                  <w:tcW w:w="670" w:type="dxa"/>
                  <w:tcBorders>
                    <w:tl2br w:val="nil"/>
                    <w:tr2bl w:val="nil"/>
                  </w:tcBorders>
                  <w:shd w:val="clear" w:color="auto" w:fill="FFFFFF"/>
                  <w:noWrap w:val="0"/>
                  <w:tcMar>
                    <w:top w:w="15" w:type="dxa"/>
                    <w:left w:w="15" w:type="dxa"/>
                    <w:right w:w="15" w:type="dxa"/>
                  </w:tcMar>
                  <w:vAlign w:val="center"/>
                </w:tcPr>
                <w:p w14:paraId="51A5821D">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1388" w:type="dxa"/>
                  <w:vMerge w:val="restart"/>
                  <w:tcBorders>
                    <w:tl2br w:val="nil"/>
                    <w:tr2bl w:val="nil"/>
                  </w:tcBorders>
                  <w:shd w:val="clear" w:color="auto" w:fill="FFFFFF"/>
                  <w:noWrap w:val="0"/>
                  <w:tcMar>
                    <w:top w:w="15" w:type="dxa"/>
                    <w:left w:w="15" w:type="dxa"/>
                    <w:right w:w="15" w:type="dxa"/>
                  </w:tcMar>
                  <w:vAlign w:val="center"/>
                </w:tcPr>
                <w:p w14:paraId="2A7FA582">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详见“采购项目技术要求”内容</w:t>
                  </w:r>
                </w:p>
              </w:tc>
              <w:tc>
                <w:tcPr>
                  <w:tcW w:w="1538" w:type="dxa"/>
                  <w:vMerge w:val="restart"/>
                  <w:tcBorders>
                    <w:tl2br w:val="nil"/>
                    <w:tr2bl w:val="nil"/>
                  </w:tcBorders>
                  <w:shd w:val="clear" w:color="auto" w:fill="FFFFFF"/>
                  <w:noWrap w:val="0"/>
                  <w:tcMar>
                    <w:top w:w="15" w:type="dxa"/>
                    <w:left w:w="15" w:type="dxa"/>
                    <w:right w:w="15" w:type="dxa"/>
                  </w:tcMar>
                  <w:vAlign w:val="center"/>
                </w:tcPr>
                <w:p w14:paraId="4B0A4CC1">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合同签订之日起一年内</w:t>
                  </w:r>
                </w:p>
              </w:tc>
              <w:tc>
                <w:tcPr>
                  <w:tcW w:w="1635" w:type="dxa"/>
                  <w:vMerge w:val="restart"/>
                  <w:tcBorders>
                    <w:tl2br w:val="nil"/>
                    <w:tr2bl w:val="nil"/>
                  </w:tcBorders>
                  <w:shd w:val="clear" w:color="auto" w:fill="FFFFFF"/>
                  <w:noWrap w:val="0"/>
                  <w:tcMar>
                    <w:top w:w="15" w:type="dxa"/>
                    <w:left w:w="15" w:type="dxa"/>
                    <w:right w:w="15" w:type="dxa"/>
                  </w:tcMar>
                  <w:vAlign w:val="center"/>
                </w:tcPr>
                <w:p w14:paraId="7A488134">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240,000.00</w:t>
                  </w:r>
                </w:p>
              </w:tc>
            </w:tr>
            <w:tr w14:paraId="7BE6E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499" w:type="dxa"/>
                  <w:tcBorders>
                    <w:tl2br w:val="nil"/>
                    <w:tr2bl w:val="nil"/>
                  </w:tcBorders>
                  <w:shd w:val="clear" w:color="auto" w:fill="FFFFFF"/>
                  <w:noWrap w:val="0"/>
                  <w:tcMar>
                    <w:top w:w="15" w:type="dxa"/>
                    <w:left w:w="15" w:type="dxa"/>
                    <w:right w:w="15" w:type="dxa"/>
                  </w:tcMar>
                  <w:vAlign w:val="center"/>
                </w:tcPr>
                <w:p w14:paraId="1EEE2A0A">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601" w:type="dxa"/>
                  <w:tcBorders>
                    <w:tl2br w:val="nil"/>
                    <w:tr2bl w:val="nil"/>
                  </w:tcBorders>
                  <w:shd w:val="clear" w:color="auto" w:fill="FFFFFF"/>
                  <w:noWrap w:val="0"/>
                  <w:tcMar>
                    <w:top w:w="15" w:type="dxa"/>
                    <w:left w:w="15" w:type="dxa"/>
                    <w:right w:w="15" w:type="dxa"/>
                  </w:tcMar>
                  <w:vAlign w:val="center"/>
                </w:tcPr>
                <w:p w14:paraId="2E95CF2D">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火箭作业安全监控终端</w:t>
                  </w:r>
                </w:p>
              </w:tc>
              <w:tc>
                <w:tcPr>
                  <w:tcW w:w="670" w:type="dxa"/>
                  <w:tcBorders>
                    <w:tl2br w:val="nil"/>
                    <w:tr2bl w:val="nil"/>
                  </w:tcBorders>
                  <w:shd w:val="clear" w:color="auto" w:fill="FFFFFF"/>
                  <w:noWrap w:val="0"/>
                  <w:tcMar>
                    <w:top w:w="15" w:type="dxa"/>
                    <w:left w:w="15" w:type="dxa"/>
                    <w:right w:w="15" w:type="dxa"/>
                  </w:tcMar>
                  <w:vAlign w:val="center"/>
                </w:tcPr>
                <w:p w14:paraId="1B144911">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1388" w:type="dxa"/>
                  <w:vMerge w:val="continue"/>
                  <w:tcBorders>
                    <w:tl2br w:val="nil"/>
                    <w:tr2bl w:val="nil"/>
                  </w:tcBorders>
                  <w:shd w:val="clear" w:color="auto" w:fill="FFFFFF"/>
                  <w:noWrap w:val="0"/>
                  <w:tcMar>
                    <w:top w:w="15" w:type="dxa"/>
                    <w:left w:w="15" w:type="dxa"/>
                    <w:right w:w="15" w:type="dxa"/>
                  </w:tcMar>
                  <w:vAlign w:val="center"/>
                </w:tcPr>
                <w:p w14:paraId="5BCF9A56">
                  <w:pPr>
                    <w:spacing w:line="360" w:lineRule="auto"/>
                    <w:jc w:val="center"/>
                    <w:rPr>
                      <w:rFonts w:hint="eastAsia" w:ascii="宋体" w:hAnsi="宋体" w:eastAsia="宋体" w:cs="宋体"/>
                      <w:sz w:val="21"/>
                      <w:szCs w:val="21"/>
                      <w:lang w:val="en-US" w:eastAsia="zh-CN"/>
                    </w:rPr>
                  </w:pPr>
                </w:p>
              </w:tc>
              <w:tc>
                <w:tcPr>
                  <w:tcW w:w="1538" w:type="dxa"/>
                  <w:vMerge w:val="continue"/>
                  <w:tcBorders>
                    <w:tl2br w:val="nil"/>
                    <w:tr2bl w:val="nil"/>
                  </w:tcBorders>
                  <w:shd w:val="clear" w:color="auto" w:fill="FFFFFF"/>
                  <w:noWrap w:val="0"/>
                  <w:tcMar>
                    <w:top w:w="15" w:type="dxa"/>
                    <w:left w:w="15" w:type="dxa"/>
                    <w:right w:w="15" w:type="dxa"/>
                  </w:tcMar>
                  <w:vAlign w:val="center"/>
                </w:tcPr>
                <w:p w14:paraId="0414491C">
                  <w:pPr>
                    <w:spacing w:line="360" w:lineRule="auto"/>
                    <w:jc w:val="center"/>
                    <w:rPr>
                      <w:rFonts w:hint="eastAsia" w:ascii="宋体" w:hAnsi="宋体" w:eastAsia="宋体" w:cs="宋体"/>
                      <w:sz w:val="21"/>
                      <w:szCs w:val="21"/>
                      <w:lang w:val="en-US" w:eastAsia="zh-CN"/>
                    </w:rPr>
                  </w:pPr>
                </w:p>
              </w:tc>
              <w:tc>
                <w:tcPr>
                  <w:tcW w:w="1635" w:type="dxa"/>
                  <w:vMerge w:val="continue"/>
                  <w:tcBorders>
                    <w:tl2br w:val="nil"/>
                    <w:tr2bl w:val="nil"/>
                  </w:tcBorders>
                  <w:shd w:val="clear" w:color="auto" w:fill="FFFFFF"/>
                  <w:noWrap w:val="0"/>
                  <w:tcMar>
                    <w:top w:w="15" w:type="dxa"/>
                    <w:left w:w="15" w:type="dxa"/>
                    <w:right w:w="15" w:type="dxa"/>
                  </w:tcMar>
                  <w:vAlign w:val="center"/>
                </w:tcPr>
                <w:p w14:paraId="160C55F7">
                  <w:pPr>
                    <w:spacing w:line="360" w:lineRule="auto"/>
                    <w:jc w:val="center"/>
                    <w:rPr>
                      <w:rFonts w:hint="eastAsia" w:ascii="宋体" w:hAnsi="宋体" w:eastAsia="宋体" w:cs="宋体"/>
                      <w:sz w:val="21"/>
                      <w:szCs w:val="21"/>
                      <w:lang w:val="en-US" w:eastAsia="zh-CN"/>
                    </w:rPr>
                  </w:pPr>
                </w:p>
              </w:tc>
            </w:tr>
            <w:tr w14:paraId="11FF5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499" w:type="dxa"/>
                  <w:tcBorders>
                    <w:tl2br w:val="nil"/>
                    <w:tr2bl w:val="nil"/>
                  </w:tcBorders>
                  <w:shd w:val="clear" w:color="auto" w:fill="FFFFFF"/>
                  <w:noWrap w:val="0"/>
                  <w:tcMar>
                    <w:top w:w="15" w:type="dxa"/>
                    <w:left w:w="15" w:type="dxa"/>
                    <w:right w:w="15" w:type="dxa"/>
                  </w:tcMar>
                  <w:vAlign w:val="center"/>
                </w:tcPr>
                <w:p w14:paraId="7CF750EB">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601" w:type="dxa"/>
                  <w:tcBorders>
                    <w:tl2br w:val="nil"/>
                    <w:tr2bl w:val="nil"/>
                  </w:tcBorders>
                  <w:shd w:val="clear" w:color="auto" w:fill="FFFFFF"/>
                  <w:noWrap w:val="0"/>
                  <w:tcMar>
                    <w:top w:w="15" w:type="dxa"/>
                    <w:left w:w="15" w:type="dxa"/>
                    <w:right w:w="15" w:type="dxa"/>
                  </w:tcMar>
                  <w:vAlign w:val="center"/>
                </w:tcPr>
                <w:p w14:paraId="76470657">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基于三码绑定的人工影响天气火箭发射安全锁控系统</w:t>
                  </w:r>
                </w:p>
              </w:tc>
              <w:tc>
                <w:tcPr>
                  <w:tcW w:w="670" w:type="dxa"/>
                  <w:tcBorders>
                    <w:tl2br w:val="nil"/>
                    <w:tr2bl w:val="nil"/>
                  </w:tcBorders>
                  <w:shd w:val="clear" w:color="auto" w:fill="FFFFFF"/>
                  <w:noWrap w:val="0"/>
                  <w:tcMar>
                    <w:top w:w="15" w:type="dxa"/>
                    <w:left w:w="15" w:type="dxa"/>
                    <w:right w:w="15" w:type="dxa"/>
                  </w:tcMar>
                  <w:vAlign w:val="center"/>
                </w:tcPr>
                <w:p w14:paraId="113A5407">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1388" w:type="dxa"/>
                  <w:vMerge w:val="continue"/>
                  <w:tcBorders>
                    <w:tl2br w:val="nil"/>
                    <w:tr2bl w:val="nil"/>
                  </w:tcBorders>
                  <w:shd w:val="clear" w:color="auto" w:fill="FFFFFF"/>
                  <w:noWrap w:val="0"/>
                  <w:tcMar>
                    <w:top w:w="15" w:type="dxa"/>
                    <w:left w:w="15" w:type="dxa"/>
                    <w:right w:w="15" w:type="dxa"/>
                  </w:tcMar>
                  <w:vAlign w:val="center"/>
                </w:tcPr>
                <w:p w14:paraId="568B4D44">
                  <w:pPr>
                    <w:spacing w:line="360" w:lineRule="auto"/>
                    <w:jc w:val="center"/>
                    <w:rPr>
                      <w:rFonts w:hint="eastAsia" w:ascii="宋体" w:hAnsi="宋体" w:eastAsia="宋体" w:cs="宋体"/>
                      <w:sz w:val="21"/>
                      <w:szCs w:val="21"/>
                      <w:lang w:val="en-US" w:eastAsia="zh-CN"/>
                    </w:rPr>
                  </w:pPr>
                </w:p>
              </w:tc>
              <w:tc>
                <w:tcPr>
                  <w:tcW w:w="1538" w:type="dxa"/>
                  <w:vMerge w:val="continue"/>
                  <w:tcBorders>
                    <w:tl2br w:val="nil"/>
                    <w:tr2bl w:val="nil"/>
                  </w:tcBorders>
                  <w:shd w:val="clear" w:color="auto" w:fill="FFFFFF"/>
                  <w:noWrap w:val="0"/>
                  <w:tcMar>
                    <w:top w:w="15" w:type="dxa"/>
                    <w:left w:w="15" w:type="dxa"/>
                    <w:right w:w="15" w:type="dxa"/>
                  </w:tcMar>
                  <w:vAlign w:val="center"/>
                </w:tcPr>
                <w:p w14:paraId="644885A3">
                  <w:pPr>
                    <w:spacing w:line="360" w:lineRule="auto"/>
                    <w:jc w:val="center"/>
                    <w:rPr>
                      <w:rFonts w:hint="eastAsia" w:ascii="宋体" w:hAnsi="宋体" w:eastAsia="宋体" w:cs="宋体"/>
                      <w:sz w:val="21"/>
                      <w:szCs w:val="21"/>
                      <w:lang w:val="en-US" w:eastAsia="zh-CN"/>
                    </w:rPr>
                  </w:pPr>
                </w:p>
              </w:tc>
              <w:tc>
                <w:tcPr>
                  <w:tcW w:w="1635" w:type="dxa"/>
                  <w:vMerge w:val="continue"/>
                  <w:tcBorders>
                    <w:tl2br w:val="nil"/>
                    <w:tr2bl w:val="nil"/>
                  </w:tcBorders>
                  <w:shd w:val="clear" w:color="auto" w:fill="FFFFFF"/>
                  <w:noWrap w:val="0"/>
                  <w:tcMar>
                    <w:top w:w="15" w:type="dxa"/>
                    <w:left w:w="15" w:type="dxa"/>
                    <w:right w:w="15" w:type="dxa"/>
                  </w:tcMar>
                  <w:vAlign w:val="center"/>
                </w:tcPr>
                <w:p w14:paraId="1A713E33">
                  <w:pPr>
                    <w:spacing w:line="360" w:lineRule="auto"/>
                    <w:jc w:val="center"/>
                    <w:rPr>
                      <w:rFonts w:hint="eastAsia" w:ascii="宋体" w:hAnsi="宋体" w:eastAsia="宋体" w:cs="宋体"/>
                      <w:sz w:val="21"/>
                      <w:szCs w:val="21"/>
                      <w:lang w:val="en-US" w:eastAsia="zh-CN"/>
                    </w:rPr>
                  </w:pPr>
                </w:p>
              </w:tc>
            </w:tr>
          </w:tbl>
          <w:p w14:paraId="5F320FDD">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三、采购项目技术要求</w:t>
            </w:r>
          </w:p>
          <w:p w14:paraId="4DBBE6E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火箭通用发射架</w:t>
            </w:r>
          </w:p>
          <w:p w14:paraId="18D079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满足箭架分离，自动化、信息化功能，设备数据实时对接火箭作业安全终端。</w:t>
            </w:r>
          </w:p>
          <w:p w14:paraId="33EEC5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1.安全点火发射：在允许的情况下对火箭进行安全点火发射，在其他情况下限制点火；</w:t>
            </w:r>
          </w:p>
          <w:p w14:paraId="5EF470A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2.无线遥控指挥：发射控制终端发出指令，发射架上的无线接收模块接收指令，并控制发射架完成相应的动作；</w:t>
            </w:r>
          </w:p>
          <w:p w14:paraId="55A957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3.姿态测量反馈：实时测量发射架定向器的俯仰角和方位角，并能在发射控制器上实时显示；</w:t>
            </w:r>
          </w:p>
          <w:p w14:paraId="06FE955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4.应急操控：无线遥控系统故障时，发射控制终端通过连接电缆的方式对发射架上火箭进行电阻检测和发射；</w:t>
            </w:r>
          </w:p>
          <w:p w14:paraId="0D194C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5.数据存储导出：每发射一枚火箭，能够自动生成一条信息，自动存储在安全锁定器中，并具有数据导出功能；</w:t>
            </w:r>
          </w:p>
          <w:p w14:paraId="56DC49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6.自动复位：作业完毕后，发射架可自动回到零位（运输位）；</w:t>
            </w:r>
          </w:p>
          <w:p w14:paraId="564D56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7.姿态调整和锁紧：正常情况下，根据接收指令，自动实现发射姿态并电动锁定俯仰角和方位角；出现故障时，可手动操作发射架进行姿态调整并手动锁定俯仰角和方位角；</w:t>
            </w:r>
          </w:p>
          <w:p w14:paraId="7C0CE2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8.具有发射安全保护功能；</w:t>
            </w:r>
          </w:p>
          <w:p w14:paraId="1A3F59B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9.具有安全射界识别功能。</w:t>
            </w:r>
          </w:p>
          <w:p w14:paraId="404F93B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（二）火箭作业安全监控终端</w:t>
            </w:r>
          </w:p>
          <w:p w14:paraId="449CF78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具备作业指令接收、安全射界验证、三码合一、作业状态判断和作业状态上报功能，须与“天工”平台对接。</w:t>
            </w:r>
          </w:p>
          <w:p w14:paraId="4E71878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（三）基于三码绑定的人工影响天气火箭发射安全锁控系统</w:t>
            </w:r>
          </w:p>
          <w:p w14:paraId="7998EF8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1.输入电压范围：±100V；</w:t>
            </w:r>
          </w:p>
          <w:p w14:paraId="0B9D74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2.额定电压：（16±5%）V；</w:t>
            </w:r>
          </w:p>
          <w:p w14:paraId="69BE66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3.最大解锁保持时间：300秒（总线断电）；</w:t>
            </w:r>
          </w:p>
          <w:p w14:paraId="4261BA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4.插入阻抗：小于0.5欧姆；</w:t>
            </w:r>
          </w:p>
          <w:p w14:paraId="26C02A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5.灌入电流：&lt;5mA（灌入电压&lt;80时）；</w:t>
            </w:r>
          </w:p>
          <w:p w14:paraId="1CCC2B8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6.解锁保持时间设定范围：1~300秒；</w:t>
            </w:r>
          </w:p>
          <w:p w14:paraId="0BC96F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7.通信模式：MBUS（双向无极性）；</w:t>
            </w:r>
          </w:p>
          <w:p w14:paraId="281138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8.通信速率：1024bps；</w:t>
            </w:r>
          </w:p>
          <w:p w14:paraId="041638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highlight w:val="none"/>
                <w:lang w:val="en-US" w:eastAsia="zh-CN"/>
              </w:rPr>
              <w:t>9.校验和算法：CRC8。</w:t>
            </w:r>
          </w:p>
          <w:p w14:paraId="556D66EE">
            <w:pPr>
              <w:keepNext w:val="0"/>
              <w:keepLines w:val="0"/>
              <w:pageBreakBefore w:val="0"/>
              <w:widowControl w:val="0"/>
              <w:kinsoku/>
              <w:wordWrap/>
              <w:overflowPunct/>
              <w:topLinePunct w:val="0"/>
              <w:autoSpaceDE/>
              <w:autoSpaceDN/>
              <w:bidi w:val="0"/>
              <w:adjustRightInd/>
              <w:snapToGrid/>
              <w:spacing w:before="157" w:beforeLines="50" w:line="360" w:lineRule="auto"/>
              <w:ind w:firstLine="422" w:firstLineChars="200"/>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四、商务要求</w:t>
            </w:r>
          </w:p>
          <w:p w14:paraId="0389DD28">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（一）合同履约期限</w:t>
            </w:r>
          </w:p>
          <w:p w14:paraId="10A91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合同签订之日起一年内。</w:t>
            </w:r>
          </w:p>
          <w:p w14:paraId="42B8A5AA">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（二）服务地点</w:t>
            </w:r>
          </w:p>
          <w:p w14:paraId="44AE4D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采购人指定地点。</w:t>
            </w:r>
          </w:p>
          <w:p w14:paraId="404E584B">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（三）维护服务要求</w:t>
            </w:r>
          </w:p>
          <w:p w14:paraId="202279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1.质量保证与售后服务：提供完善的售后服务方案，质保期自最终验收合格之日起不少于8年。质保期内，应提供备品备件先行更换。</w:t>
            </w:r>
          </w:p>
          <w:p w14:paraId="29A21335">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（四）报价要求</w:t>
            </w:r>
          </w:p>
          <w:p w14:paraId="071F3C6B">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1.报价超出预算金额的列为无效报价。</w:t>
            </w:r>
          </w:p>
          <w:p w14:paraId="71B83F23">
            <w:pPr>
              <w:pStyle w:val="9"/>
              <w:keepNext w:val="0"/>
              <w:keepLines w:val="0"/>
              <w:pageBreakBefore w:val="0"/>
              <w:widowControl w:val="0"/>
              <w:kinsoku/>
              <w:wordWrap/>
              <w:overflowPunct/>
              <w:topLinePunct w:val="0"/>
              <w:autoSpaceDE w:val="0"/>
              <w:autoSpaceDN w:val="0"/>
              <w:bidi w:val="0"/>
              <w:adjustRightInd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2.供应商必须对本项目的全部内容进行响应报价，如有缺漏，将导致响应无效。</w:t>
            </w:r>
          </w:p>
          <w:p w14:paraId="07ED6FD8">
            <w:pPr>
              <w:pStyle w:val="9"/>
              <w:keepNext w:val="0"/>
              <w:keepLines w:val="0"/>
              <w:pageBreakBefore w:val="0"/>
              <w:widowControl w:val="0"/>
              <w:kinsoku/>
              <w:wordWrap/>
              <w:overflowPunct/>
              <w:topLinePunct w:val="0"/>
              <w:bidi w:val="0"/>
              <w:snapToGrid/>
              <w:spacing w:line="36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3.供应商的报价为一次性报价，即在本项目合同履约期限内价格固定不变；报价应为人民币含税全包价。</w:t>
            </w:r>
          </w:p>
          <w:p w14:paraId="3646D586">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（五）验收要求</w:t>
            </w:r>
          </w:p>
          <w:p w14:paraId="0B8E1E48">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在交接时当场进行验收。</w:t>
            </w:r>
          </w:p>
          <w:p w14:paraId="643B71CB">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（六）付款方式</w:t>
            </w:r>
          </w:p>
          <w:p w14:paraId="74AEDAF1">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.项目最终验收合格后10个工作日内，采购人向成交供应商支付合同含税总价的100%（以合同签订情况为准）。</w:t>
            </w:r>
          </w:p>
          <w:p w14:paraId="0B19D692">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成交供应商应充分理解采购人支付申请时间，不得因此延迟交付成果和向采购人索赔任何额外费用，不因此追究采购人责任。</w:t>
            </w:r>
          </w:p>
          <w:p w14:paraId="5C893574">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2.付款方式：采用银行转账形式。</w:t>
            </w:r>
          </w:p>
          <w:p w14:paraId="537AB676">
            <w:pPr>
              <w:pStyle w:val="9"/>
              <w:keepNext w:val="0"/>
              <w:keepLines w:val="0"/>
              <w:pageBreakBefore w:val="0"/>
              <w:kinsoku/>
              <w:wordWrap/>
              <w:overflowPunct/>
              <w:topLinePunct w:val="0"/>
              <w:autoSpaceDE/>
              <w:autoSpaceDN/>
              <w:bidi w:val="0"/>
              <w:adjustRightInd/>
              <w:snapToGrid/>
              <w:spacing w:line="360" w:lineRule="auto"/>
              <w:ind w:firstLine="420" w:firstLineChars="200"/>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1"/>
                <w:szCs w:val="21"/>
                <w:highlight w:val="none"/>
                <w:lang w:val="en-US" w:eastAsia="zh-CN"/>
              </w:rPr>
              <w:t>3.每笔款项支付时，成交供应商同时向采购人提供相应金额的正式发票。</w:t>
            </w:r>
          </w:p>
        </w:tc>
        <w:tc>
          <w:tcPr>
            <w:tcW w:w="1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adjustRightInd/>
              <w:snapToGrid/>
              <w:spacing w:line="380" w:lineRule="exact"/>
              <w:ind w:left="0" w:leftChars="0" w:firstLine="0" w:firstLineChars="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3</w:t>
            </w:r>
          </w:p>
        </w:tc>
        <w:tc>
          <w:tcPr>
            <w:tcW w:w="23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36280">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广东省翁源县气象局：</w:t>
            </w:r>
          </w:p>
          <w:p w14:paraId="1EB789E3">
            <w:pPr>
              <w:spacing w:line="360" w:lineRule="auto"/>
              <w:jc w:val="center"/>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广东省始兴县气象局：</w:t>
            </w:r>
          </w:p>
          <w:p w14:paraId="143BE4EB">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auto"/>
                <w:sz w:val="21"/>
                <w:szCs w:val="21"/>
                <w:highlight w:val="none"/>
                <w:lang w:val="en-US" w:eastAsia="zh-CN"/>
              </w:rPr>
              <w:t>广东省乳源瑶族自治县气象局：</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adjustRightInd/>
              <w:snapToGrid/>
              <w:spacing w:line="380" w:lineRule="exact"/>
              <w:jc w:val="center"/>
              <w:textAlignment w:val="center"/>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rPr>
        <w:tc>
          <w:tcPr>
            <w:tcW w:w="1176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总报价(元）</w:t>
            </w:r>
          </w:p>
        </w:tc>
        <w:tc>
          <w:tcPr>
            <w:tcW w:w="2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340" w:lineRule="exact"/>
              <w:jc w:val="center"/>
              <w:textAlignment w:val="center"/>
              <w:rPr>
                <w:rFonts w:hint="eastAsia" w:ascii="宋体" w:hAnsi="宋体" w:eastAsia="宋体" w:cs="宋体"/>
                <w:i w:val="0"/>
                <w:iCs w:val="0"/>
                <w:color w:val="000000"/>
                <w:sz w:val="21"/>
                <w:szCs w:val="21"/>
                <w:u w:val="none"/>
              </w:rPr>
            </w:pPr>
          </w:p>
        </w:tc>
      </w:tr>
    </w:tbl>
    <w:p w14:paraId="4E8031B0">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eastAsia" w:ascii="宋体" w:hAnsi="宋体" w:eastAsia="宋体" w:cs="宋体"/>
          <w:i w:val="0"/>
          <w:iCs w:val="0"/>
          <w:color w:val="000000"/>
          <w:kern w:val="0"/>
          <w:sz w:val="21"/>
          <w:szCs w:val="21"/>
          <w:u w:val="none"/>
          <w:lang w:val="en-US" w:eastAsia="zh-CN" w:bidi="ar"/>
        </w:rPr>
      </w:pPr>
    </w:p>
    <w:p w14:paraId="55B9E610">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r>
        <w:rPr>
          <w:rFonts w:hint="eastAsia" w:ascii="宋体" w:hAnsi="宋体" w:cs="宋体"/>
          <w:i w:val="0"/>
          <w:iCs w:val="0"/>
          <w:color w:val="000000"/>
          <w:kern w:val="0"/>
          <w:sz w:val="21"/>
          <w:szCs w:val="21"/>
          <w:u w:val="none"/>
          <w:lang w:val="en-US" w:eastAsia="zh-CN" w:bidi="ar"/>
        </w:rPr>
        <w:t>xxxx有限公司</w:t>
      </w:r>
    </w:p>
    <w:p w14:paraId="4C63235C">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561"/>
        <w:textAlignment w:val="auto"/>
        <w:rPr>
          <w:rFonts w:hint="default"/>
          <w:lang w:val="en-US" w:eastAsia="zh-CN"/>
        </w:rPr>
      </w:pPr>
      <w:r>
        <w:rPr>
          <w:rFonts w:hint="eastAsia" w:ascii="宋体" w:hAnsi="宋体" w:eastAsia="宋体" w:cs="宋体"/>
          <w:i w:val="0"/>
          <w:iCs w:val="0"/>
          <w:color w:val="000000"/>
          <w:kern w:val="0"/>
          <w:sz w:val="21"/>
          <w:szCs w:val="21"/>
          <w:u w:val="none"/>
          <w:lang w:val="en-US" w:eastAsia="zh-CN" w:bidi="ar"/>
        </w:rPr>
        <w:t>报价日期：</w:t>
      </w:r>
      <w:r>
        <w:rPr>
          <w:rFonts w:hint="eastAsia" w:ascii="宋体" w:hAnsi="宋体" w:cs="宋体"/>
          <w:i w:val="0"/>
          <w:iCs w:val="0"/>
          <w:color w:val="000000"/>
          <w:kern w:val="0"/>
          <w:sz w:val="21"/>
          <w:szCs w:val="21"/>
          <w:u w:val="none"/>
          <w:lang w:val="en-US" w:eastAsia="zh-CN" w:bidi="ar"/>
        </w:rPr>
        <w:t>2026年xx月xx日</w:t>
      </w:r>
      <w:bookmarkStart w:id="0" w:name="_GoBack"/>
      <w:bookmarkEnd w:id="0"/>
    </w:p>
    <w:sectPr>
      <w:footerReference r:id="rId3" w:type="default"/>
      <w:pgSz w:w="16838" w:h="11906" w:orient="landscape"/>
      <w:pgMar w:top="1191" w:right="1191" w:bottom="102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_x000B__x000C_">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3"/>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3"/>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2604E4"/>
    <w:rsid w:val="01DA5C6C"/>
    <w:rsid w:val="034435DC"/>
    <w:rsid w:val="04425825"/>
    <w:rsid w:val="08251EAA"/>
    <w:rsid w:val="08E1392A"/>
    <w:rsid w:val="09B434E5"/>
    <w:rsid w:val="0D373C46"/>
    <w:rsid w:val="0DB066B9"/>
    <w:rsid w:val="1C3404B6"/>
    <w:rsid w:val="201E74B3"/>
    <w:rsid w:val="21515666"/>
    <w:rsid w:val="22035426"/>
    <w:rsid w:val="25A03144"/>
    <w:rsid w:val="2CE850D0"/>
    <w:rsid w:val="308B46F0"/>
    <w:rsid w:val="3259213A"/>
    <w:rsid w:val="336A6FB2"/>
    <w:rsid w:val="349D0823"/>
    <w:rsid w:val="38BF4BE6"/>
    <w:rsid w:val="40992462"/>
    <w:rsid w:val="43D63A7D"/>
    <w:rsid w:val="468E063F"/>
    <w:rsid w:val="4D2E66D8"/>
    <w:rsid w:val="506D7517"/>
    <w:rsid w:val="533E519B"/>
    <w:rsid w:val="636B1FDC"/>
    <w:rsid w:val="67184229"/>
    <w:rsid w:val="6884728A"/>
    <w:rsid w:val="6CE16E6B"/>
    <w:rsid w:val="6EDA1DC4"/>
    <w:rsid w:val="6FA431BE"/>
    <w:rsid w:val="7CA87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left="425" w:firstLine="518" w:firstLineChars="216"/>
    </w:pPr>
    <w:rPr>
      <w:rFonts w:ascii="楷体_GB2312" w:eastAsia="楷体_GB2312"/>
      <w:sz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99"/>
    <w:pPr>
      <w:ind w:firstLine="42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正"/>
    <w:basedOn w:val="10"/>
    <w:qFormat/>
    <w:uiPriority w:val="0"/>
    <w:pPr>
      <w:spacing w:line="560" w:lineRule="exact"/>
      <w:ind w:firstLine="561"/>
    </w:pPr>
    <w:rPr>
      <w:rFonts w:ascii="Calibri" w:hAnsi="Calibri"/>
      <w:sz w:val="28"/>
      <w:szCs w:val="24"/>
    </w:rPr>
  </w:style>
  <w:style w:type="paragraph" w:customStyle="1" w:styleId="10">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11">
    <w:name w:val="正文文本 New"/>
    <w:basedOn w:val="12"/>
    <w:qFormat/>
    <w:uiPriority w:val="0"/>
    <w:pPr>
      <w:widowControl w:val="0"/>
      <w:spacing w:line="360" w:lineRule="auto"/>
      <w:ind w:firstLine="0" w:firstLineChars="0"/>
      <w:jc w:val="both"/>
    </w:pPr>
    <w:rPr>
      <w:rFonts w:ascii="_x000B__x000C_" w:hAnsi="_x000B__x000C_" w:eastAsia="宋体" w:cs="Times New Roman"/>
      <w:kern w:val="2"/>
      <w:sz w:val="24"/>
      <w:szCs w:val="20"/>
      <w:lang w:val="en-US" w:eastAsia="zh-CN" w:bidi="ar-SA"/>
    </w:rPr>
  </w:style>
  <w:style w:type="paragraph" w:customStyle="1" w:styleId="12">
    <w:name w:val="正文 New New New New"/>
    <w:next w:val="11"/>
    <w:qFormat/>
    <w:uiPriority w:val="0"/>
    <w:pPr>
      <w:widowControl w:val="0"/>
      <w:adjustRightInd w:val="0"/>
      <w:spacing w:before="60" w:after="60"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13">
    <w:name w:val="UserStyle_43"/>
    <w:basedOn w:val="14"/>
    <w:qFormat/>
    <w:uiPriority w:val="0"/>
    <w:rPr>
      <w:rFonts w:ascii="宋体" w:hAnsi="Courier New"/>
      <w:szCs w:val="21"/>
    </w:rPr>
  </w:style>
  <w:style w:type="paragraph" w:customStyle="1" w:styleId="14">
    <w:name w:val="UserStyle_30"/>
    <w:next w:val="15"/>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5">
    <w:name w:val="UserStyle_20"/>
    <w:basedOn w:val="16"/>
    <w:qFormat/>
    <w:uiPriority w:val="0"/>
    <w:pPr>
      <w:spacing w:line="560" w:lineRule="exact"/>
      <w:ind w:firstLine="561"/>
    </w:pPr>
    <w:rPr>
      <w:rFonts w:eastAsia="仿宋_GB2312"/>
      <w:sz w:val="28"/>
    </w:rPr>
  </w:style>
  <w:style w:type="paragraph" w:customStyle="1" w:styleId="16">
    <w:name w:val="UserStyle_24"/>
    <w:next w:val="15"/>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7">
    <w:name w:val="NormalCharacter"/>
    <w:qFormat/>
    <w:uiPriority w:val="0"/>
  </w:style>
  <w:style w:type="paragraph" w:customStyle="1" w:styleId="18">
    <w:name w:val="179"/>
    <w:basedOn w:val="14"/>
    <w:qFormat/>
    <w:uiPriority w:val="0"/>
    <w:pPr>
      <w:ind w:firstLine="420" w:firstLineChars="200"/>
    </w:pPr>
    <w:rPr>
      <w:rFonts w:ascii="Calibri" w:hAnsi="Calibri"/>
      <w:szCs w:val="22"/>
    </w:rPr>
  </w:style>
  <w:style w:type="paragraph" w:customStyle="1" w:styleId="19">
    <w:name w:val="Table Text"/>
    <w:basedOn w:val="1"/>
    <w:semiHidden/>
    <w:qFormat/>
    <w:uiPriority w:val="0"/>
    <w:rPr>
      <w:rFonts w:ascii="宋体" w:hAnsi="宋体" w:eastAsia="宋体" w:cs="宋体"/>
      <w:sz w:val="24"/>
      <w:szCs w:val="24"/>
      <w:lang w:val="en-US" w:eastAsia="en-US" w:bidi="ar-SA"/>
    </w:rPr>
  </w:style>
  <w:style w:type="paragraph" w:customStyle="1" w:styleId="2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1">
    <w:name w:val="Plain Text"/>
    <w:basedOn w:val="1"/>
    <w:qFormat/>
    <w:uiPriority w:val="0"/>
    <w:rPr>
      <w:rFonts w:ascii="宋体" w:hAnsi="Courier New"/>
      <w:kern w:val="0"/>
      <w:sz w:val="2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2008</Words>
  <Characters>2179</Characters>
  <Lines>0</Lines>
  <Paragraphs>0</Paragraphs>
  <TotalTime>3</TotalTime>
  <ScaleCrop>false</ScaleCrop>
  <LinksUpToDate>false</LinksUpToDate>
  <CharactersWithSpaces>2240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Daishaoc</cp:lastModifiedBy>
  <dcterms:modified xsi:type="dcterms:W3CDTF">2026-06-22T07:37:56Z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BCCA7EA7B0534042A7A401879EC817F2_12</vt:lpwstr>
  </property>
  <property fmtid="{D5CDD505-2E9C-101B-9397-08002B2CF9AE}" pid="4" name="KSOTemplateDocerSaveRecord">
    <vt:lpwstr>eyJoZGlkIjoiZTNlZDExMmJiM2ZkMzVhN2RiNmY4ODI5OTQ0OTA1NmQiLCJ1c2VySWQiOiI2NTU3NzExNTAifQ==</vt:lpwstr>
  </property>
</Properties>
</file>