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C2426">
      <w:pPr>
        <w:keepNext w:val="0"/>
        <w:keepLines w:val="0"/>
        <w:pageBreakBefore w:val="0"/>
        <w:widowControl/>
        <w:suppressLineNumbers w:val="0"/>
        <w:kinsoku/>
        <w:wordWrap/>
        <w:overflowPunct/>
        <w:topLinePunct w:val="0"/>
        <w:autoSpaceDE/>
        <w:autoSpaceDN/>
        <w:bidi w:val="0"/>
        <w:adjustRightInd/>
        <w:snapToGrid/>
        <w:spacing w:after="157" w:afterLines="50"/>
        <w:jc w:val="center"/>
        <w:textAlignment w:val="center"/>
        <w:rPr>
          <w:rFonts w:hint="eastAsia"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t>电子竞价报价一览表</w:t>
      </w:r>
    </w:p>
    <w:p w14:paraId="389D527F">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电子询价项目名称：广东省新丰县气象局2026年自动站运行维护项目</w:t>
      </w:r>
    </w:p>
    <w:p w14:paraId="28E02A41">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电子询价项目编号：2026-049-SGYD-DZX                                                          预算金额：¥350,000.000</w:t>
      </w:r>
    </w:p>
    <w:tbl>
      <w:tblPr>
        <w:tblStyle w:val="6"/>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1"/>
        <w:gridCol w:w="1155"/>
        <w:gridCol w:w="8960"/>
        <w:gridCol w:w="1063"/>
        <w:gridCol w:w="670"/>
        <w:gridCol w:w="427"/>
        <w:gridCol w:w="818"/>
        <w:gridCol w:w="427"/>
      </w:tblGrid>
      <w:tr w14:paraId="70778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139E">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40AB3">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采购标的</w:t>
            </w:r>
          </w:p>
        </w:tc>
        <w:tc>
          <w:tcPr>
            <w:tcW w:w="8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C66F">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采购需求的技术、服务要求</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72AB9">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报价产品的技术、服务响应情况</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0A8F8">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是否满足要求</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F6D1">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29DF1">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单价（元）</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59CA9">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1154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80C53">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79D74">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广东省新丰县气象局2026年自动站运行维护项目</w:t>
            </w:r>
          </w:p>
        </w:tc>
        <w:tc>
          <w:tcPr>
            <w:tcW w:w="8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13E1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采购需求一览表</w:t>
            </w:r>
          </w:p>
          <w:tbl>
            <w:tblPr>
              <w:tblStyle w:val="6"/>
              <w:tblpPr w:leftFromText="180" w:rightFromText="180" w:vertAnchor="text" w:horzAnchor="page" w:tblpXSpec="center" w:tblpY="287"/>
              <w:tblOverlap w:val="never"/>
              <w:tblW w:w="8796" w:type="dxa"/>
              <w:jc w:val="center"/>
              <w:tblLayout w:type="fixed"/>
              <w:tblCellMar>
                <w:top w:w="0" w:type="dxa"/>
                <w:left w:w="0" w:type="dxa"/>
                <w:bottom w:w="0" w:type="dxa"/>
                <w:right w:w="0" w:type="dxa"/>
              </w:tblCellMar>
            </w:tblPr>
            <w:tblGrid>
              <w:gridCol w:w="602"/>
              <w:gridCol w:w="2306"/>
              <w:gridCol w:w="853"/>
              <w:gridCol w:w="1642"/>
              <w:gridCol w:w="1804"/>
              <w:gridCol w:w="1589"/>
            </w:tblGrid>
            <w:tr w14:paraId="21EC6BCB">
              <w:tblPrEx>
                <w:tblCellMar>
                  <w:top w:w="0" w:type="dxa"/>
                  <w:left w:w="0" w:type="dxa"/>
                  <w:bottom w:w="0" w:type="dxa"/>
                  <w:right w:w="0" w:type="dxa"/>
                </w:tblCellMar>
              </w:tblPrEx>
              <w:trPr>
                <w:trHeight w:val="455" w:hRule="atLeast"/>
                <w:jc w:val="center"/>
              </w:trPr>
              <w:tc>
                <w:tcPr>
                  <w:tcW w:w="34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682A392">
                  <w:pPr>
                    <w:keepNext w:val="0"/>
                    <w:keepLines w:val="0"/>
                    <w:pageBreakBefore w:val="0"/>
                    <w:widowControl/>
                    <w:kinsoku/>
                    <w:wordWrap/>
                    <w:overflowPunct/>
                    <w:topLinePunct w:val="0"/>
                    <w:bidi w:val="0"/>
                    <w:snapToGrid/>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lang w:bidi="ar"/>
                    </w:rPr>
                    <w:t>序号</w:t>
                  </w:r>
                </w:p>
              </w:tc>
              <w:tc>
                <w:tcPr>
                  <w:tcW w:w="131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339618B">
                  <w:pPr>
                    <w:keepNext w:val="0"/>
                    <w:keepLines w:val="0"/>
                    <w:pageBreakBefore w:val="0"/>
                    <w:widowControl/>
                    <w:kinsoku/>
                    <w:wordWrap/>
                    <w:overflowPunct/>
                    <w:topLinePunct w:val="0"/>
                    <w:bidi w:val="0"/>
                    <w:snapToGrid/>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lang w:bidi="ar"/>
                    </w:rPr>
                    <w:t>采购内容</w:t>
                  </w:r>
                </w:p>
              </w:tc>
              <w:tc>
                <w:tcPr>
                  <w:tcW w:w="48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755E122">
                  <w:pPr>
                    <w:keepNext w:val="0"/>
                    <w:keepLines w:val="0"/>
                    <w:pageBreakBefore w:val="0"/>
                    <w:widowControl/>
                    <w:kinsoku/>
                    <w:wordWrap/>
                    <w:overflowPunct/>
                    <w:topLinePunct w:val="0"/>
                    <w:bidi w:val="0"/>
                    <w:snapToGrid/>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c>
                <w:tcPr>
                  <w:tcW w:w="9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E36CC47">
                  <w:pPr>
                    <w:keepNext w:val="0"/>
                    <w:keepLines w:val="0"/>
                    <w:pageBreakBefore w:val="0"/>
                    <w:widowControl/>
                    <w:kinsoku/>
                    <w:wordWrap/>
                    <w:overflowPunct/>
                    <w:topLinePunct w:val="0"/>
                    <w:bidi w:val="0"/>
                    <w:snapToGrid/>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服务要求</w:t>
                  </w:r>
                </w:p>
              </w:tc>
              <w:tc>
                <w:tcPr>
                  <w:tcW w:w="102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DC7689F">
                  <w:pPr>
                    <w:keepNext w:val="0"/>
                    <w:keepLines w:val="0"/>
                    <w:pageBreakBefore w:val="0"/>
                    <w:widowControl/>
                    <w:kinsoku/>
                    <w:wordWrap/>
                    <w:overflowPunct/>
                    <w:topLinePunct w:val="0"/>
                    <w:bidi w:val="0"/>
                    <w:snapToGrid/>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服务期</w:t>
                  </w:r>
                </w:p>
              </w:tc>
              <w:tc>
                <w:tcPr>
                  <w:tcW w:w="90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CC53122">
                  <w:pPr>
                    <w:keepNext w:val="0"/>
                    <w:keepLines w:val="0"/>
                    <w:pageBreakBefore w:val="0"/>
                    <w:widowControl/>
                    <w:kinsoku/>
                    <w:wordWrap/>
                    <w:overflowPunct/>
                    <w:topLinePunct w:val="0"/>
                    <w:bidi w:val="0"/>
                    <w:snapToGrid/>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预算金额（元）</w:t>
                  </w:r>
                </w:p>
              </w:tc>
            </w:tr>
            <w:tr w14:paraId="4629EB5A">
              <w:tblPrEx>
                <w:tblCellMar>
                  <w:top w:w="0" w:type="dxa"/>
                  <w:left w:w="0" w:type="dxa"/>
                  <w:bottom w:w="0" w:type="dxa"/>
                  <w:right w:w="0" w:type="dxa"/>
                </w:tblCellMar>
              </w:tblPrEx>
              <w:trPr>
                <w:trHeight w:val="1328" w:hRule="atLeast"/>
                <w:jc w:val="center"/>
              </w:trPr>
              <w:tc>
                <w:tcPr>
                  <w:tcW w:w="34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625DD8F">
                  <w:pPr>
                    <w:keepNext w:val="0"/>
                    <w:keepLines w:val="0"/>
                    <w:pageBreakBefore w:val="0"/>
                    <w:kinsoku/>
                    <w:wordWrap/>
                    <w:overflowPunct/>
                    <w:topLinePunct w:val="0"/>
                    <w:bidi w:val="0"/>
                    <w:snapToGrid/>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31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73A0F84">
                  <w:pPr>
                    <w:keepNext w:val="0"/>
                    <w:keepLines w:val="0"/>
                    <w:pageBreakBefore w:val="0"/>
                    <w:kinsoku/>
                    <w:wordWrap/>
                    <w:overflowPunct/>
                    <w:topLinePunct w:val="0"/>
                    <w:bidi w:val="0"/>
                    <w:snapToGrid/>
                    <w:spacing w:line="360" w:lineRule="auto"/>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广东省新丰县气象局2026年自动站运行维护项目</w:t>
                  </w:r>
                </w:p>
              </w:tc>
              <w:tc>
                <w:tcPr>
                  <w:tcW w:w="48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FBCC057">
                  <w:pPr>
                    <w:keepNext w:val="0"/>
                    <w:keepLines w:val="0"/>
                    <w:pageBreakBefore w:val="0"/>
                    <w:kinsoku/>
                    <w:wordWrap/>
                    <w:overflowPunct/>
                    <w:topLinePunct w:val="0"/>
                    <w:bidi w:val="0"/>
                    <w:snapToGrid/>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1项</w:t>
                  </w:r>
                </w:p>
              </w:tc>
              <w:tc>
                <w:tcPr>
                  <w:tcW w:w="9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9F6118C">
                  <w:pPr>
                    <w:keepNext w:val="0"/>
                    <w:keepLines w:val="0"/>
                    <w:pageBreakBefore w:val="0"/>
                    <w:kinsoku/>
                    <w:wordWrap/>
                    <w:overflowPunct/>
                    <w:topLinePunct w:val="0"/>
                    <w:bidi w:val="0"/>
                    <w:snapToGrid/>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详见本项目服务内容要求</w:t>
                  </w:r>
                </w:p>
              </w:tc>
              <w:tc>
                <w:tcPr>
                  <w:tcW w:w="102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57D4BBB">
                  <w:pPr>
                    <w:keepNext w:val="0"/>
                    <w:keepLines w:val="0"/>
                    <w:pageBreakBefore w:val="0"/>
                    <w:kinsoku/>
                    <w:wordWrap/>
                    <w:overflowPunct/>
                    <w:topLinePunct w:val="0"/>
                    <w:bidi w:val="0"/>
                    <w:snapToGrid/>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2026年3月起至2027年2月止</w:t>
                  </w:r>
                </w:p>
              </w:tc>
              <w:tc>
                <w:tcPr>
                  <w:tcW w:w="90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6354381">
                  <w:pPr>
                    <w:keepNext w:val="0"/>
                    <w:keepLines w:val="0"/>
                    <w:pageBreakBefore w:val="0"/>
                    <w:kinsoku/>
                    <w:wordWrap/>
                    <w:overflowPunct/>
                    <w:topLinePunct w:val="0"/>
                    <w:bidi w:val="0"/>
                    <w:snapToGrid/>
                    <w:spacing w:line="360" w:lineRule="auto"/>
                    <w:jc w:val="center"/>
                    <w:rPr>
                      <w:rFonts w:hint="eastAsia" w:ascii="宋体" w:hAnsi="宋体" w:eastAsia="宋体" w:cs="宋体"/>
                      <w:color w:val="auto"/>
                      <w:sz w:val="21"/>
                      <w:szCs w:val="21"/>
                      <w:lang w:eastAsia="zh-CN"/>
                    </w:rPr>
                  </w:pPr>
                  <w:bookmarkStart w:id="0" w:name="OLE_LINK2"/>
                  <w:r>
                    <w:rPr>
                      <w:rFonts w:hint="eastAsia" w:ascii="宋体" w:hAnsi="宋体" w:eastAsia="宋体" w:cs="宋体"/>
                      <w:color w:val="auto"/>
                      <w:sz w:val="21"/>
                      <w:szCs w:val="21"/>
                    </w:rPr>
                    <w:t>¥</w:t>
                  </w:r>
                  <w:bookmarkEnd w:id="0"/>
                  <w:r>
                    <w:rPr>
                      <w:rFonts w:hint="eastAsia" w:ascii="宋体" w:hAnsi="宋体" w:eastAsia="宋体" w:cs="宋体"/>
                      <w:color w:val="auto"/>
                      <w:sz w:val="21"/>
                      <w:szCs w:val="21"/>
                      <w:lang w:val="en-US" w:eastAsia="zh-CN"/>
                    </w:rPr>
                    <w:t>350,000.00</w:t>
                  </w:r>
                </w:p>
              </w:tc>
            </w:tr>
          </w:tbl>
          <w:p w14:paraId="510396DA">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采购项目概况</w:t>
            </w:r>
          </w:p>
          <w:p w14:paraId="32B9711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highlight w:val="none"/>
              </w:rPr>
            </w:pPr>
            <w:r>
              <w:rPr>
                <w:rFonts w:hint="eastAsia" w:ascii="宋体" w:hAnsi="宋体" w:eastAsia="宋体" w:cs="宋体"/>
                <w:b w:val="0"/>
                <w:bCs w:val="0"/>
                <w:sz w:val="21"/>
                <w:szCs w:val="21"/>
                <w:highlight w:val="none"/>
              </w:rPr>
              <w:t>本项目为</w:t>
            </w:r>
            <w:r>
              <w:rPr>
                <w:rFonts w:hint="eastAsia" w:ascii="宋体" w:hAnsi="宋体" w:eastAsia="宋体" w:cs="宋体"/>
                <w:b w:val="0"/>
                <w:bCs w:val="0"/>
                <w:sz w:val="21"/>
                <w:szCs w:val="21"/>
                <w:highlight w:val="none"/>
                <w:lang w:eastAsia="zh-CN"/>
              </w:rPr>
              <w:t>新丰县</w:t>
            </w:r>
            <w:r>
              <w:rPr>
                <w:rFonts w:hint="eastAsia" w:ascii="宋体" w:hAnsi="宋体" w:eastAsia="宋体" w:cs="宋体"/>
                <w:b w:val="0"/>
                <w:bCs w:val="0"/>
                <w:sz w:val="21"/>
                <w:szCs w:val="21"/>
                <w:highlight w:val="none"/>
              </w:rPr>
              <w:t>内安装的</w:t>
            </w:r>
            <w:r>
              <w:rPr>
                <w:rFonts w:hint="eastAsia" w:ascii="宋体" w:hAnsi="宋体" w:eastAsia="宋体" w:cs="宋体"/>
                <w:b w:val="0"/>
                <w:bCs w:val="0"/>
                <w:sz w:val="21"/>
                <w:szCs w:val="21"/>
                <w:highlight w:val="none"/>
                <w:lang w:val="en-US" w:eastAsia="zh-CN"/>
              </w:rPr>
              <w:t>45个</w:t>
            </w:r>
            <w:r>
              <w:rPr>
                <w:rFonts w:hint="eastAsia" w:ascii="宋体" w:hAnsi="宋体" w:eastAsia="宋体" w:cs="宋体"/>
                <w:b w:val="0"/>
                <w:bCs w:val="0"/>
                <w:sz w:val="21"/>
                <w:szCs w:val="21"/>
                <w:highlight w:val="none"/>
                <w:lang w:eastAsia="zh-CN"/>
              </w:rPr>
              <w:t>气象观测</w:t>
            </w:r>
            <w:r>
              <w:rPr>
                <w:rFonts w:hint="eastAsia" w:ascii="宋体" w:hAnsi="宋体" w:eastAsia="宋体" w:cs="宋体"/>
                <w:b w:val="0"/>
                <w:bCs w:val="0"/>
                <w:sz w:val="21"/>
                <w:szCs w:val="21"/>
                <w:highlight w:val="none"/>
              </w:rPr>
              <w:t>自动站</w:t>
            </w:r>
            <w:r>
              <w:rPr>
                <w:rFonts w:hint="eastAsia" w:ascii="宋体" w:hAnsi="宋体" w:eastAsia="宋体" w:cs="宋体"/>
                <w:b w:val="0"/>
                <w:bCs w:val="0"/>
                <w:sz w:val="21"/>
                <w:szCs w:val="21"/>
                <w:highlight w:val="none"/>
                <w:lang w:eastAsia="zh-CN"/>
              </w:rPr>
              <w:t>202</w:t>
            </w:r>
            <w:r>
              <w:rPr>
                <w:rFonts w:hint="eastAsia" w:ascii="宋体" w:hAnsi="宋体" w:eastAsia="宋体" w:cs="宋体"/>
                <w:b w:val="0"/>
                <w:bCs w:val="0"/>
                <w:sz w:val="21"/>
                <w:szCs w:val="21"/>
                <w:highlight w:val="none"/>
                <w:lang w:val="en-US" w:eastAsia="zh-CN"/>
              </w:rPr>
              <w:t>6</w:t>
            </w:r>
            <w:r>
              <w:rPr>
                <w:rFonts w:hint="eastAsia" w:ascii="宋体" w:hAnsi="宋体" w:eastAsia="宋体" w:cs="宋体"/>
                <w:b w:val="0"/>
                <w:bCs w:val="0"/>
                <w:sz w:val="21"/>
                <w:szCs w:val="21"/>
                <w:highlight w:val="none"/>
              </w:rPr>
              <w:t>年度</w:t>
            </w:r>
            <w:r>
              <w:rPr>
                <w:rFonts w:hint="eastAsia" w:ascii="宋体" w:hAnsi="宋体" w:eastAsia="宋体" w:cs="宋体"/>
                <w:color w:val="auto"/>
                <w:sz w:val="21"/>
                <w:szCs w:val="21"/>
                <w:highlight w:val="none"/>
                <w:lang w:eastAsia="zh-CN"/>
              </w:rPr>
              <w:t>运行维护</w:t>
            </w:r>
            <w:r>
              <w:rPr>
                <w:rFonts w:hint="eastAsia" w:ascii="宋体" w:hAnsi="宋体" w:eastAsia="宋体" w:cs="宋体"/>
                <w:b w:val="0"/>
                <w:bCs w:val="0"/>
                <w:sz w:val="21"/>
                <w:szCs w:val="21"/>
                <w:highlight w:val="none"/>
              </w:rPr>
              <w:t>服务</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这些气象观测设备长期处于室外，</w:t>
            </w:r>
            <w:r>
              <w:rPr>
                <w:rFonts w:hint="eastAsia" w:ascii="宋体" w:hAnsi="宋体" w:eastAsia="宋体" w:cs="宋体"/>
                <w:b w:val="0"/>
                <w:bCs w:val="0"/>
                <w:sz w:val="21"/>
                <w:szCs w:val="21"/>
                <w:highlight w:val="none"/>
                <w:lang w:eastAsia="zh-CN"/>
              </w:rPr>
              <w:t>仪器设备可能因恶劣天气、网络故障、</w:t>
            </w:r>
            <w:bookmarkStart w:id="1" w:name="_GoBack"/>
            <w:bookmarkEnd w:id="1"/>
            <w:r>
              <w:rPr>
                <w:rFonts w:hint="eastAsia" w:ascii="宋体" w:hAnsi="宋体" w:eastAsia="宋体" w:cs="宋体"/>
                <w:b w:val="0"/>
                <w:bCs w:val="0"/>
                <w:sz w:val="21"/>
                <w:szCs w:val="21"/>
                <w:highlight w:val="none"/>
                <w:lang w:eastAsia="zh-CN"/>
              </w:rPr>
              <w:t>设备长期运行故障、被人为破坏等原因导致观测数据未能及时上报、无数据或数据错误等情况，且</w:t>
            </w:r>
            <w:r>
              <w:rPr>
                <w:rFonts w:hint="eastAsia" w:ascii="宋体" w:hAnsi="宋体" w:eastAsia="宋体" w:cs="宋体"/>
                <w:b w:val="0"/>
                <w:bCs w:val="0"/>
                <w:sz w:val="21"/>
                <w:szCs w:val="21"/>
                <w:highlight w:val="none"/>
              </w:rPr>
              <w:t>野外容易受到雷电干扰的区域，为了防止雷电意外事故和财产损失，做到安全可靠、稳定运行</w:t>
            </w:r>
            <w:r>
              <w:rPr>
                <w:rFonts w:hint="eastAsia" w:ascii="宋体" w:hAnsi="宋体" w:eastAsia="宋体" w:cs="宋体"/>
                <w:b w:val="0"/>
                <w:bCs w:val="0"/>
                <w:sz w:val="21"/>
                <w:szCs w:val="21"/>
                <w:highlight w:val="none"/>
                <w:lang w:eastAsia="zh-CN"/>
              </w:rPr>
              <w:t>及时</w:t>
            </w:r>
            <w:r>
              <w:rPr>
                <w:rFonts w:hint="eastAsia" w:ascii="宋体" w:hAnsi="宋体" w:eastAsia="宋体" w:cs="宋体"/>
                <w:b w:val="0"/>
                <w:bCs w:val="0"/>
                <w:sz w:val="21"/>
                <w:szCs w:val="21"/>
                <w:highlight w:val="none"/>
              </w:rPr>
              <w:t>、经济合理，通过</w:t>
            </w:r>
            <w:r>
              <w:rPr>
                <w:rFonts w:hint="eastAsia" w:ascii="宋体" w:hAnsi="宋体" w:eastAsia="宋体" w:cs="宋体"/>
                <w:b w:val="0"/>
                <w:bCs w:val="0"/>
                <w:sz w:val="21"/>
                <w:szCs w:val="21"/>
                <w:highlight w:val="none"/>
                <w:lang w:val="en-US" w:eastAsia="zh-CN"/>
              </w:rPr>
              <w:t>电子询价</w:t>
            </w:r>
            <w:r>
              <w:rPr>
                <w:rFonts w:hint="eastAsia" w:ascii="宋体" w:hAnsi="宋体" w:eastAsia="宋体" w:cs="宋体"/>
                <w:b w:val="0"/>
                <w:bCs w:val="0"/>
                <w:sz w:val="21"/>
                <w:szCs w:val="21"/>
                <w:highlight w:val="none"/>
              </w:rPr>
              <w:t>方式进行采购。</w:t>
            </w:r>
          </w:p>
          <w:p w14:paraId="1B5C0985">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服务要求</w:t>
            </w:r>
          </w:p>
          <w:p w14:paraId="5412B945">
            <w:pPr>
              <w:pStyle w:val="14"/>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leftChars="0" w:firstLine="420" w:firstLineChars="200"/>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配备专职维护人员且具备丰富的自动气象站维护经验，精通自动气象站的工作原理、设备状况，能够熟练进行常见故障的分析与处理，为采购人提供高质量的自动站运行维护服务，确保设备持续正常运行，确保气象观测站的稳定运行率≥95%。</w:t>
            </w:r>
          </w:p>
          <w:p w14:paraId="42FE0C4E">
            <w:pPr>
              <w:pStyle w:val="14"/>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420" w:firstLineChars="200"/>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2.要求完成定期巡检工作：每两个月对气象观测站进行一次主动巡查维护，需在偶数月（2 月、4 月、6 月、8 月、10 月、12 月）的月底最后一天前完成，并及时将巡检表上传至钉钉软件。巡检内容全面，包括观测环境勘察（拍照记录），检查观测站周边环境是否符合气象观测要求；外观检查，查看设备外壳、支架等是否有损坏、变形；运行状况检查，检测设备各项参数是否正常；设备清洁，清除设备表面的灰尘、杂物等；以及观测场草坪维护，确保草坪高度符合规范。</w:t>
            </w:r>
          </w:p>
          <w:p w14:paraId="6A35CC67">
            <w:pPr>
              <w:pStyle w:val="14"/>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420" w:firstLineChars="200"/>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每两个月完成一次定期巡查维护，具体工作包括检查各传感器性能，确保传感器数据采集准确；清洁相关设备，保证设备正常散热和运行；检查电缆和插件连接情况，防止出现接触不良等问题；清理观测场地杂草荆棘，保持观测场地整洁。每次巡查维护完成后，应填写详细的巡查维护登记表。</w:t>
            </w:r>
          </w:p>
          <w:p w14:paraId="3273F7AA">
            <w:pPr>
              <w:pStyle w:val="14"/>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420" w:firstLineChars="200"/>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完成故障修复工作：密切监测自动气象站的运行状态，一旦发现故障，应立即主动进行修复，并及时上传维修表。对于国家天气站，必须在12小时内完成故障修复；对于其余自动气象站，应在36小时内修复。若因自然灾害、极端恶劣天气等不可抗力因素导致无法按时到达现场，应在上述因素消除后8小时内抵达现场。确保年内观测业务数据可用性≥96%。</w:t>
            </w:r>
          </w:p>
          <w:p w14:paraId="5C178FAF">
            <w:pPr>
              <w:pStyle w:val="14"/>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420" w:firstLineChars="200"/>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5.防雷设施维护：严格参照《自动气象站场室防雷技术规范》（QX 30—2004）</w:t>
            </w:r>
          </w:p>
          <w:p w14:paraId="135C5CFB">
            <w:pPr>
              <w:pStyle w:val="14"/>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textAlignment w:val="auto"/>
              <w:rPr>
                <w:rStyle w:val="12"/>
                <w:rFonts w:hint="eastAsia" w:ascii="宋体" w:hAnsi="宋体" w:eastAsia="宋体" w:cs="宋体"/>
                <w:b/>
                <w:bCs/>
                <w:sz w:val="21"/>
                <w:szCs w:val="21"/>
                <w:highlight w:val="yellow"/>
                <w:u w:val="none"/>
                <w:lang w:val="en-US" w:eastAsia="zh-CN"/>
              </w:rPr>
            </w:pPr>
            <w:r>
              <w:rPr>
                <w:rFonts w:hint="eastAsia" w:ascii="宋体" w:hAnsi="宋体" w:eastAsia="宋体" w:cs="宋体"/>
                <w:b w:val="0"/>
                <w:bCs w:val="0"/>
                <w:color w:val="auto"/>
                <w:kern w:val="2"/>
                <w:sz w:val="21"/>
                <w:szCs w:val="21"/>
                <w:lang w:val="en-US" w:eastAsia="zh-CN" w:bidi="ar-SA"/>
              </w:rPr>
              <w:t>的要求，完成受损防雷设施的修复工作。同时，供应商需每年对气象观测站的防雷装置进行一次检测。若供应商自身不具备检测资质，可委托具备相应资质的第三方进行检测，检测费用由供应商承担。</w:t>
            </w:r>
          </w:p>
          <w:p w14:paraId="5D031D3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违约责任</w:t>
            </w:r>
          </w:p>
          <w:p w14:paraId="1ECE88D1">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kern w:val="2"/>
                <w:sz w:val="21"/>
                <w:szCs w:val="21"/>
                <w:highlight w:val="none"/>
                <w:lang w:val="en-US" w:eastAsia="zh-CN"/>
              </w:rPr>
              <w:t>供应商</w:t>
            </w:r>
            <w:r>
              <w:rPr>
                <w:rFonts w:hint="eastAsia" w:ascii="宋体" w:hAnsi="宋体" w:eastAsia="宋体" w:cs="宋体"/>
                <w:b w:val="0"/>
                <w:bCs w:val="0"/>
                <w:color w:val="auto"/>
                <w:kern w:val="2"/>
                <w:sz w:val="21"/>
                <w:szCs w:val="21"/>
                <w:highlight w:val="none"/>
              </w:rPr>
              <w:t>有下列情形之一的，取消合同履约：</w:t>
            </w:r>
          </w:p>
          <w:p w14:paraId="32482195">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kern w:val="2"/>
                <w:sz w:val="21"/>
                <w:szCs w:val="21"/>
                <w:highlight w:val="none"/>
                <w:lang w:val="en-US" w:eastAsia="zh-CN"/>
              </w:rPr>
              <w:t>1.</w:t>
            </w:r>
            <w:r>
              <w:rPr>
                <w:rFonts w:hint="eastAsia" w:ascii="宋体" w:hAnsi="宋体" w:eastAsia="宋体" w:cs="宋体"/>
                <w:b w:val="0"/>
                <w:bCs w:val="0"/>
                <w:color w:val="auto"/>
                <w:kern w:val="2"/>
                <w:sz w:val="21"/>
                <w:szCs w:val="21"/>
                <w:highlight w:val="none"/>
              </w:rPr>
              <w:t>中标后无正当理由不接受委托的；</w:t>
            </w:r>
          </w:p>
          <w:p w14:paraId="0C7EA370">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kern w:val="2"/>
                <w:sz w:val="21"/>
                <w:szCs w:val="21"/>
                <w:highlight w:val="none"/>
                <w:lang w:val="en-US" w:eastAsia="zh-CN"/>
              </w:rPr>
              <w:t>2.</w:t>
            </w:r>
            <w:r>
              <w:rPr>
                <w:rFonts w:hint="eastAsia" w:ascii="宋体" w:hAnsi="宋体" w:eastAsia="宋体" w:cs="宋体"/>
                <w:b w:val="0"/>
                <w:bCs w:val="0"/>
                <w:color w:val="auto"/>
                <w:kern w:val="2"/>
                <w:sz w:val="21"/>
                <w:szCs w:val="21"/>
                <w:highlight w:val="none"/>
              </w:rPr>
              <w:t>超时未提交维保记录或照片、经两次书面催办无正当理由仍未提交的；</w:t>
            </w:r>
          </w:p>
          <w:p w14:paraId="04EE876A">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b w:val="0"/>
                <w:bCs w:val="0"/>
                <w:color w:val="auto"/>
                <w:kern w:val="2"/>
                <w:sz w:val="21"/>
                <w:szCs w:val="21"/>
                <w:highlight w:val="none"/>
                <w:lang w:eastAsia="zh-CN"/>
              </w:rPr>
            </w:pPr>
            <w:r>
              <w:rPr>
                <w:rFonts w:hint="eastAsia" w:ascii="宋体" w:hAnsi="宋体" w:eastAsia="宋体" w:cs="宋体"/>
                <w:b w:val="0"/>
                <w:bCs w:val="0"/>
                <w:color w:val="auto"/>
                <w:kern w:val="2"/>
                <w:sz w:val="21"/>
                <w:szCs w:val="21"/>
                <w:highlight w:val="none"/>
                <w:lang w:val="en-US" w:eastAsia="zh-CN"/>
              </w:rPr>
              <w:t>3.</w:t>
            </w:r>
            <w:r>
              <w:rPr>
                <w:rFonts w:hint="eastAsia" w:ascii="宋体" w:hAnsi="宋体" w:eastAsia="宋体" w:cs="宋体"/>
                <w:b w:val="0"/>
                <w:bCs w:val="0"/>
                <w:color w:val="auto"/>
                <w:kern w:val="2"/>
                <w:sz w:val="21"/>
                <w:szCs w:val="21"/>
                <w:highlight w:val="none"/>
              </w:rPr>
              <w:t>签订合同协议后无正当理由不接受委托或未经</w:t>
            </w:r>
            <w:r>
              <w:rPr>
                <w:rFonts w:hint="eastAsia" w:ascii="宋体" w:hAnsi="宋体" w:eastAsia="宋体" w:cs="宋体"/>
                <w:b w:val="0"/>
                <w:bCs w:val="0"/>
                <w:color w:val="auto"/>
                <w:kern w:val="2"/>
                <w:sz w:val="21"/>
                <w:szCs w:val="21"/>
                <w:highlight w:val="none"/>
                <w:lang w:val="en-US" w:eastAsia="zh-CN"/>
              </w:rPr>
              <w:t>采购人</w:t>
            </w:r>
            <w:r>
              <w:rPr>
                <w:rFonts w:hint="eastAsia" w:ascii="宋体" w:hAnsi="宋体" w:eastAsia="宋体" w:cs="宋体"/>
                <w:b w:val="0"/>
                <w:bCs w:val="0"/>
                <w:color w:val="auto"/>
                <w:kern w:val="2"/>
                <w:sz w:val="21"/>
                <w:szCs w:val="21"/>
                <w:highlight w:val="none"/>
              </w:rPr>
              <w:t>书面同意擅自将受托项目转委托给第三方的</w:t>
            </w:r>
            <w:r>
              <w:rPr>
                <w:rFonts w:hint="eastAsia" w:ascii="宋体" w:hAnsi="宋体" w:eastAsia="宋体" w:cs="宋体"/>
                <w:b w:val="0"/>
                <w:bCs w:val="0"/>
                <w:color w:val="auto"/>
                <w:kern w:val="2"/>
                <w:sz w:val="21"/>
                <w:szCs w:val="21"/>
                <w:highlight w:val="none"/>
                <w:lang w:eastAsia="zh-CN"/>
              </w:rPr>
              <w:t>；</w:t>
            </w:r>
          </w:p>
          <w:p w14:paraId="75510BB5">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b w:val="0"/>
                <w:bCs w:val="0"/>
                <w:color w:val="auto"/>
                <w:kern w:val="2"/>
                <w:sz w:val="21"/>
                <w:szCs w:val="21"/>
                <w:highlight w:val="none"/>
                <w:lang w:val="en-US" w:eastAsia="zh-CN"/>
              </w:rPr>
            </w:pPr>
            <w:r>
              <w:rPr>
                <w:rFonts w:hint="eastAsia" w:ascii="宋体" w:hAnsi="宋体" w:eastAsia="宋体" w:cs="宋体"/>
                <w:b w:val="0"/>
                <w:bCs w:val="0"/>
                <w:color w:val="auto"/>
                <w:kern w:val="2"/>
                <w:sz w:val="21"/>
                <w:szCs w:val="21"/>
                <w:highlight w:val="none"/>
              </w:rPr>
              <w:t>4.设备维修质量不合格的</w:t>
            </w:r>
            <w:r>
              <w:rPr>
                <w:rFonts w:hint="eastAsia" w:ascii="宋体" w:hAnsi="宋体" w:eastAsia="宋体" w:cs="宋体"/>
                <w:b w:val="0"/>
                <w:bCs w:val="0"/>
                <w:color w:val="auto"/>
                <w:kern w:val="2"/>
                <w:sz w:val="21"/>
                <w:szCs w:val="21"/>
                <w:highlight w:val="none"/>
                <w:lang w:eastAsia="zh-CN"/>
              </w:rPr>
              <w:t>或未能在规定时间内完成维修的</w:t>
            </w:r>
            <w:r>
              <w:rPr>
                <w:rFonts w:hint="eastAsia" w:ascii="宋体" w:hAnsi="宋体" w:eastAsia="宋体" w:cs="宋体"/>
                <w:b w:val="0"/>
                <w:bCs w:val="0"/>
                <w:color w:val="auto"/>
                <w:kern w:val="2"/>
                <w:sz w:val="21"/>
                <w:szCs w:val="21"/>
                <w:highlight w:val="none"/>
              </w:rPr>
              <w:t>。</w:t>
            </w:r>
          </w:p>
          <w:p w14:paraId="0FDB958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其他要求</w:t>
            </w:r>
          </w:p>
          <w:p w14:paraId="002E9E40">
            <w:pPr>
              <w:pStyle w:val="13"/>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jc w:val="both"/>
              <w:textAlignment w:val="baseline"/>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1.供应商应当配合委托人（采购人），完成其他与委托业务相关的工作。</w:t>
            </w:r>
          </w:p>
          <w:p w14:paraId="1267D9C8">
            <w:pPr>
              <w:pStyle w:val="13"/>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jc w:val="both"/>
              <w:textAlignment w:val="baseline"/>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2.供应商在协议执行期内出现以下情形之一的，通过有关部门查处核实，采购人有权单方终止合作协议，委托人（采购人）有权取消该供应商协议服务资格，并保留追究其相关法律责任的权利：</w:t>
            </w:r>
          </w:p>
          <w:p w14:paraId="6961B585">
            <w:pPr>
              <w:pStyle w:val="13"/>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baseline"/>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（1）违反有关法律、法规和政策规定，造成采购人及相关单位损失的；</w:t>
            </w:r>
          </w:p>
          <w:p w14:paraId="11A9D9B9">
            <w:pPr>
              <w:pStyle w:val="13"/>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baseline"/>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（2）通过提供虚假信息、误导或欺骗等方式，以谋取非法利益的；</w:t>
            </w:r>
          </w:p>
          <w:p w14:paraId="1CBE3BD8">
            <w:pPr>
              <w:pStyle w:val="13"/>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baseline"/>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（3）签订服务协议后无正当理由不接受委托或未经采购人书面同意擅自将受托项目转委托给第三方的；</w:t>
            </w:r>
          </w:p>
          <w:p w14:paraId="24CA27ED">
            <w:pPr>
              <w:pStyle w:val="13"/>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baseline"/>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（4）年检不合格或服务质量不合格的；</w:t>
            </w:r>
          </w:p>
          <w:p w14:paraId="23A47FC1">
            <w:pPr>
              <w:pStyle w:val="13"/>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baseline"/>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（5）在协议期限内累计1次不配合委托人工作的；</w:t>
            </w:r>
          </w:p>
          <w:p w14:paraId="4B85A259">
            <w:pPr>
              <w:pStyle w:val="13"/>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baseline"/>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（6）拒绝接受委托人、采购人跟踪核查的；</w:t>
            </w:r>
          </w:p>
          <w:p w14:paraId="01DD10A0">
            <w:pPr>
              <w:pStyle w:val="13"/>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baseline"/>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（7）与当事人或有关人员存在恶意串通的。</w:t>
            </w:r>
          </w:p>
          <w:p w14:paraId="077C646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费用和付款方式</w:t>
            </w:r>
          </w:p>
          <w:p w14:paraId="3BCFDDCA">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b w:val="0"/>
                <w:bCs w:val="0"/>
                <w:color w:val="auto"/>
                <w:kern w:val="2"/>
                <w:sz w:val="21"/>
                <w:szCs w:val="21"/>
                <w:highlight w:val="none"/>
                <w:lang w:val="en-US"/>
              </w:rPr>
            </w:pPr>
            <w:r>
              <w:rPr>
                <w:rStyle w:val="12"/>
                <w:rFonts w:hint="eastAsia" w:ascii="宋体" w:hAnsi="宋体" w:eastAsia="宋体" w:cs="宋体"/>
                <w:sz w:val="21"/>
                <w:szCs w:val="21"/>
                <w:highlight w:val="none"/>
                <w:lang w:val="en-US" w:eastAsia="zh-CN"/>
              </w:rPr>
              <w:t>1.</w:t>
            </w:r>
            <w:r>
              <w:rPr>
                <w:rStyle w:val="12"/>
                <w:rFonts w:hint="eastAsia" w:ascii="宋体" w:hAnsi="宋体" w:eastAsia="宋体" w:cs="宋体"/>
                <w:sz w:val="21"/>
                <w:szCs w:val="21"/>
                <w:highlight w:val="none"/>
                <w:lang w:val="en-US"/>
              </w:rPr>
              <w:t>本</w:t>
            </w:r>
            <w:r>
              <w:rPr>
                <w:rStyle w:val="12"/>
                <w:rFonts w:hint="eastAsia" w:ascii="宋体" w:hAnsi="宋体" w:eastAsia="宋体" w:cs="宋体"/>
                <w:sz w:val="21"/>
                <w:szCs w:val="21"/>
                <w:highlight w:val="none"/>
                <w:lang w:val="en-US" w:eastAsia="zh-CN"/>
              </w:rPr>
              <w:t>项目</w:t>
            </w:r>
            <w:r>
              <w:rPr>
                <w:rStyle w:val="12"/>
                <w:rFonts w:hint="eastAsia" w:ascii="宋体" w:hAnsi="宋体" w:eastAsia="宋体" w:cs="宋体"/>
                <w:sz w:val="21"/>
                <w:szCs w:val="21"/>
                <w:highlight w:val="none"/>
                <w:lang w:val="en-US"/>
              </w:rPr>
              <w:t>费用包括</w:t>
            </w:r>
            <w:r>
              <w:rPr>
                <w:rStyle w:val="12"/>
                <w:rFonts w:hint="eastAsia" w:ascii="宋体" w:hAnsi="宋体" w:eastAsia="宋体" w:cs="宋体"/>
                <w:sz w:val="21"/>
                <w:szCs w:val="21"/>
                <w:highlight w:val="none"/>
                <w:lang w:val="en-US" w:eastAsia="zh-CN"/>
              </w:rPr>
              <w:t>供应商</w:t>
            </w:r>
            <w:r>
              <w:rPr>
                <w:rStyle w:val="12"/>
                <w:rFonts w:hint="eastAsia" w:ascii="宋体" w:hAnsi="宋体" w:eastAsia="宋体" w:cs="宋体"/>
                <w:sz w:val="21"/>
                <w:szCs w:val="21"/>
                <w:highlight w:val="none"/>
                <w:lang w:val="en-US"/>
              </w:rPr>
              <w:t>维保服务活动中产生的一切</w:t>
            </w:r>
            <w:r>
              <w:rPr>
                <w:rFonts w:hint="eastAsia" w:ascii="宋体" w:hAnsi="宋体" w:eastAsia="宋体" w:cs="宋体"/>
                <w:b w:val="0"/>
                <w:bCs w:val="0"/>
                <w:color w:val="auto"/>
                <w:kern w:val="2"/>
                <w:sz w:val="21"/>
                <w:szCs w:val="21"/>
                <w:highlight w:val="none"/>
                <w:lang w:val="en-US"/>
              </w:rPr>
              <w:t>费用，包含但不限于车辆费、住宿费、餐饮费、人工费、税金及其他费用。</w:t>
            </w:r>
          </w:p>
          <w:p w14:paraId="7963ADA1">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b w:val="0"/>
                <w:bCs w:val="0"/>
                <w:color w:val="auto"/>
                <w:kern w:val="2"/>
                <w:sz w:val="21"/>
                <w:szCs w:val="21"/>
                <w:highlight w:val="none"/>
                <w:lang w:val="en-US"/>
              </w:rPr>
            </w:pPr>
            <w:r>
              <w:rPr>
                <w:rFonts w:hint="eastAsia" w:ascii="宋体" w:hAnsi="宋体" w:eastAsia="宋体" w:cs="宋体"/>
                <w:b w:val="0"/>
                <w:bCs w:val="0"/>
                <w:color w:val="auto"/>
                <w:kern w:val="2"/>
                <w:sz w:val="21"/>
                <w:szCs w:val="21"/>
                <w:highlight w:val="none"/>
                <w:lang w:val="en-US" w:eastAsia="zh-CN"/>
              </w:rPr>
              <w:t>2.</w:t>
            </w:r>
            <w:r>
              <w:rPr>
                <w:rFonts w:hint="eastAsia" w:ascii="宋体" w:hAnsi="宋体" w:eastAsia="宋体" w:cs="宋体"/>
                <w:b w:val="0"/>
                <w:bCs w:val="0"/>
                <w:color w:val="auto"/>
                <w:kern w:val="2"/>
                <w:sz w:val="21"/>
                <w:szCs w:val="21"/>
                <w:highlight w:val="none"/>
                <w:lang w:val="en-US"/>
              </w:rPr>
              <w:t>付款方式：</w:t>
            </w:r>
          </w:p>
          <w:p w14:paraId="467E0B8F">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b w:val="0"/>
                <w:bCs w:val="0"/>
                <w:color w:val="auto"/>
                <w:kern w:val="2"/>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rPr>
              <w:t>（1）签订合同后，供应商</w:t>
            </w:r>
            <w:r>
              <w:rPr>
                <w:rFonts w:hint="eastAsia" w:ascii="宋体" w:hAnsi="宋体" w:eastAsia="宋体" w:cs="宋体"/>
                <w:b w:val="0"/>
                <w:bCs w:val="0"/>
                <w:color w:val="auto"/>
                <w:kern w:val="2"/>
                <w:sz w:val="21"/>
                <w:szCs w:val="21"/>
                <w:highlight w:val="none"/>
                <w:lang w:val="en-US"/>
              </w:rPr>
              <w:t>向</w:t>
            </w:r>
            <w:r>
              <w:rPr>
                <w:rFonts w:hint="eastAsia" w:ascii="宋体" w:hAnsi="宋体" w:eastAsia="宋体" w:cs="宋体"/>
                <w:b w:val="0"/>
                <w:bCs w:val="0"/>
                <w:color w:val="auto"/>
                <w:kern w:val="2"/>
                <w:sz w:val="21"/>
                <w:szCs w:val="21"/>
                <w:highlight w:val="none"/>
                <w:lang w:val="en-US" w:eastAsia="zh-CN"/>
              </w:rPr>
              <w:t>采购人</w:t>
            </w:r>
            <w:r>
              <w:rPr>
                <w:rFonts w:hint="eastAsia" w:ascii="宋体" w:hAnsi="宋体" w:eastAsia="宋体" w:cs="宋体"/>
                <w:b w:val="0"/>
                <w:bCs w:val="0"/>
                <w:color w:val="auto"/>
                <w:kern w:val="2"/>
                <w:sz w:val="21"/>
                <w:szCs w:val="21"/>
                <w:highlight w:val="none"/>
                <w:lang w:val="en-US"/>
              </w:rPr>
              <w:t>开具</w:t>
            </w:r>
            <w:r>
              <w:rPr>
                <w:rFonts w:hint="eastAsia" w:ascii="宋体" w:hAnsi="宋体" w:eastAsia="宋体" w:cs="宋体"/>
                <w:b w:val="0"/>
                <w:bCs w:val="0"/>
                <w:color w:val="auto"/>
                <w:kern w:val="2"/>
                <w:sz w:val="21"/>
                <w:szCs w:val="21"/>
                <w:highlight w:val="none"/>
              </w:rPr>
              <w:t>2026年上半年</w:t>
            </w:r>
            <w:r>
              <w:rPr>
                <w:rFonts w:hint="eastAsia" w:ascii="宋体" w:hAnsi="宋体" w:eastAsia="宋体" w:cs="宋体"/>
                <w:b w:val="0"/>
                <w:bCs w:val="0"/>
                <w:color w:val="auto"/>
                <w:kern w:val="2"/>
                <w:sz w:val="21"/>
                <w:szCs w:val="21"/>
                <w:highlight w:val="none"/>
                <w:lang w:val="en-US"/>
              </w:rPr>
              <w:t>等额增值税普通发票，</w:t>
            </w:r>
            <w:r>
              <w:rPr>
                <w:rFonts w:hint="eastAsia" w:ascii="宋体" w:hAnsi="宋体" w:eastAsia="宋体" w:cs="宋体"/>
                <w:b w:val="0"/>
                <w:bCs w:val="0"/>
                <w:color w:val="auto"/>
                <w:kern w:val="2"/>
                <w:sz w:val="21"/>
                <w:szCs w:val="21"/>
                <w:highlight w:val="none"/>
                <w:lang w:val="en-US" w:eastAsia="zh-CN"/>
              </w:rPr>
              <w:t>采购人</w:t>
            </w:r>
            <w:r>
              <w:rPr>
                <w:rFonts w:hint="eastAsia" w:ascii="宋体" w:hAnsi="宋体" w:eastAsia="宋体" w:cs="宋体"/>
                <w:b w:val="0"/>
                <w:bCs w:val="0"/>
                <w:color w:val="auto"/>
                <w:kern w:val="2"/>
                <w:sz w:val="21"/>
                <w:szCs w:val="21"/>
                <w:highlight w:val="none"/>
                <w:lang w:val="en-US"/>
              </w:rPr>
              <w:t>向</w:t>
            </w:r>
            <w:r>
              <w:rPr>
                <w:rFonts w:hint="eastAsia" w:ascii="宋体" w:hAnsi="宋体" w:eastAsia="宋体" w:cs="宋体"/>
                <w:b w:val="0"/>
                <w:bCs w:val="0"/>
                <w:color w:val="auto"/>
                <w:kern w:val="2"/>
                <w:sz w:val="21"/>
                <w:szCs w:val="21"/>
                <w:highlight w:val="none"/>
                <w:lang w:val="en-US" w:eastAsia="zh-CN"/>
              </w:rPr>
              <w:t>供应商</w:t>
            </w:r>
            <w:r>
              <w:rPr>
                <w:rFonts w:hint="eastAsia" w:ascii="宋体" w:hAnsi="宋体" w:eastAsia="宋体" w:cs="宋体"/>
                <w:b w:val="0"/>
                <w:bCs w:val="0"/>
                <w:color w:val="auto"/>
                <w:kern w:val="2"/>
                <w:sz w:val="21"/>
                <w:szCs w:val="21"/>
                <w:highlight w:val="none"/>
                <w:lang w:val="en-US"/>
              </w:rPr>
              <w:t>支付维护总款项的50%；</w:t>
            </w:r>
            <w:r>
              <w:rPr>
                <w:rFonts w:hint="eastAsia" w:ascii="宋体" w:hAnsi="宋体" w:eastAsia="宋体" w:cs="宋体"/>
                <w:b w:val="0"/>
                <w:bCs w:val="0"/>
                <w:color w:val="auto"/>
                <w:kern w:val="2"/>
                <w:sz w:val="21"/>
                <w:szCs w:val="21"/>
                <w:highlight w:val="none"/>
                <w:lang w:val="en-US" w:eastAsia="zh-CN"/>
              </w:rPr>
              <w:t>供应商</w:t>
            </w:r>
            <w:r>
              <w:rPr>
                <w:rFonts w:hint="eastAsia" w:ascii="宋体" w:hAnsi="宋体" w:eastAsia="宋体" w:cs="宋体"/>
                <w:b w:val="0"/>
                <w:bCs w:val="0"/>
                <w:color w:val="auto"/>
                <w:kern w:val="2"/>
                <w:sz w:val="21"/>
                <w:szCs w:val="21"/>
                <w:highlight w:val="none"/>
                <w:lang w:val="en-US"/>
              </w:rPr>
              <w:t>凭</w:t>
            </w:r>
            <w:r>
              <w:rPr>
                <w:rFonts w:hint="eastAsia" w:ascii="宋体" w:hAnsi="宋体" w:eastAsia="宋体" w:cs="宋体"/>
                <w:b w:val="0"/>
                <w:bCs w:val="0"/>
                <w:color w:val="auto"/>
                <w:kern w:val="2"/>
                <w:sz w:val="21"/>
                <w:szCs w:val="21"/>
                <w:highlight w:val="none"/>
                <w:lang w:val="en-US" w:eastAsia="zh-CN"/>
              </w:rPr>
              <w:t>合同、供应商</w:t>
            </w:r>
            <w:r>
              <w:rPr>
                <w:rFonts w:hint="eastAsia" w:ascii="宋体" w:hAnsi="宋体" w:eastAsia="宋体" w:cs="宋体"/>
                <w:b w:val="0"/>
                <w:bCs w:val="0"/>
                <w:color w:val="auto"/>
                <w:kern w:val="2"/>
                <w:sz w:val="21"/>
                <w:szCs w:val="21"/>
                <w:highlight w:val="none"/>
                <w:lang w:val="en-US"/>
              </w:rPr>
              <w:t>开具的正式发票</w:t>
            </w:r>
            <w:r>
              <w:rPr>
                <w:rFonts w:hint="eastAsia" w:ascii="宋体" w:hAnsi="宋体" w:eastAsia="宋体" w:cs="宋体"/>
                <w:b w:val="0"/>
                <w:bCs w:val="0"/>
                <w:color w:val="auto"/>
                <w:kern w:val="2"/>
                <w:sz w:val="21"/>
                <w:szCs w:val="21"/>
                <w:highlight w:val="none"/>
                <w:lang w:val="en-US" w:eastAsia="zh-CN"/>
              </w:rPr>
              <w:t>等</w:t>
            </w:r>
            <w:r>
              <w:rPr>
                <w:rFonts w:hint="eastAsia" w:ascii="宋体" w:hAnsi="宋体" w:eastAsia="宋体" w:cs="宋体"/>
                <w:b w:val="0"/>
                <w:bCs w:val="0"/>
                <w:color w:val="auto"/>
                <w:kern w:val="2"/>
                <w:sz w:val="21"/>
                <w:szCs w:val="21"/>
                <w:highlight w:val="none"/>
                <w:lang w:val="en-US"/>
              </w:rPr>
              <w:t>有效文件与</w:t>
            </w:r>
            <w:r>
              <w:rPr>
                <w:rFonts w:hint="eastAsia" w:ascii="宋体" w:hAnsi="宋体" w:eastAsia="宋体" w:cs="宋体"/>
                <w:b w:val="0"/>
                <w:bCs w:val="0"/>
                <w:color w:val="auto"/>
                <w:kern w:val="2"/>
                <w:sz w:val="21"/>
                <w:szCs w:val="21"/>
                <w:highlight w:val="none"/>
                <w:lang w:val="en-US" w:eastAsia="zh-CN"/>
              </w:rPr>
              <w:t>采购人</w:t>
            </w:r>
            <w:r>
              <w:rPr>
                <w:rFonts w:hint="eastAsia" w:ascii="宋体" w:hAnsi="宋体" w:eastAsia="宋体" w:cs="宋体"/>
                <w:b w:val="0"/>
                <w:bCs w:val="0"/>
                <w:color w:val="auto"/>
                <w:kern w:val="2"/>
                <w:sz w:val="21"/>
                <w:szCs w:val="21"/>
                <w:highlight w:val="none"/>
                <w:lang w:val="en-US"/>
              </w:rPr>
              <w:t>结算</w:t>
            </w:r>
            <w:r>
              <w:rPr>
                <w:rFonts w:hint="eastAsia" w:ascii="宋体" w:hAnsi="宋体" w:eastAsia="宋体" w:cs="宋体"/>
                <w:b w:val="0"/>
                <w:bCs w:val="0"/>
                <w:color w:val="auto"/>
                <w:kern w:val="2"/>
                <w:sz w:val="21"/>
                <w:szCs w:val="21"/>
                <w:highlight w:val="none"/>
                <w:lang w:val="en-US" w:eastAsia="zh-CN"/>
              </w:rPr>
              <w:t>。</w:t>
            </w:r>
          </w:p>
          <w:p w14:paraId="7ABE1F85">
            <w:pPr>
              <w:keepNext w:val="0"/>
              <w:keepLines w:val="0"/>
              <w:pageBreakBefore w:val="0"/>
              <w:tabs>
                <w:tab w:val="left" w:pos="700"/>
              </w:tabs>
              <w:kinsoku/>
              <w:wordWrap/>
              <w:overflowPunct/>
              <w:topLinePunct w:val="0"/>
              <w:bidi w:val="0"/>
              <w:snapToGrid/>
              <w:spacing w:line="360" w:lineRule="auto"/>
              <w:ind w:firstLine="420" w:firstLineChars="200"/>
              <w:jc w:val="left"/>
              <w:rPr>
                <w:rFonts w:hint="eastAsia" w:ascii="宋体" w:hAnsi="宋体" w:eastAsia="宋体" w:cs="宋体"/>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rPr>
              <w:t>（2）</w:t>
            </w:r>
            <w:r>
              <w:rPr>
                <w:rFonts w:hint="eastAsia" w:ascii="宋体" w:hAnsi="宋体" w:eastAsia="宋体" w:cs="宋体"/>
                <w:b w:val="0"/>
                <w:bCs w:val="0"/>
                <w:color w:val="auto"/>
                <w:kern w:val="2"/>
                <w:sz w:val="21"/>
                <w:szCs w:val="21"/>
                <w:highlight w:val="none"/>
                <w:lang w:val="en-US"/>
              </w:rPr>
              <w:t>202</w:t>
            </w:r>
            <w:r>
              <w:rPr>
                <w:rFonts w:hint="eastAsia" w:ascii="宋体" w:hAnsi="宋体" w:eastAsia="宋体" w:cs="宋体"/>
                <w:b w:val="0"/>
                <w:bCs w:val="0"/>
                <w:color w:val="auto"/>
                <w:kern w:val="2"/>
                <w:sz w:val="21"/>
                <w:szCs w:val="21"/>
                <w:highlight w:val="none"/>
                <w:lang w:val="en-US" w:eastAsia="zh-CN"/>
              </w:rPr>
              <w:t>6</w:t>
            </w:r>
            <w:r>
              <w:rPr>
                <w:rFonts w:hint="eastAsia" w:ascii="宋体" w:hAnsi="宋体" w:eastAsia="宋体" w:cs="宋体"/>
                <w:b w:val="0"/>
                <w:bCs w:val="0"/>
                <w:color w:val="auto"/>
                <w:kern w:val="2"/>
                <w:sz w:val="21"/>
                <w:szCs w:val="21"/>
                <w:highlight w:val="none"/>
                <w:lang w:val="en-US"/>
              </w:rPr>
              <w:t>年</w:t>
            </w:r>
            <w:r>
              <w:rPr>
                <w:rFonts w:hint="eastAsia" w:ascii="宋体" w:hAnsi="宋体" w:eastAsia="宋体" w:cs="宋体"/>
                <w:b w:val="0"/>
                <w:bCs w:val="0"/>
                <w:color w:val="auto"/>
                <w:kern w:val="2"/>
                <w:sz w:val="21"/>
                <w:szCs w:val="21"/>
                <w:highlight w:val="none"/>
                <w:lang w:val="en-US" w:eastAsia="zh-CN"/>
              </w:rPr>
              <w:t>下半年</w:t>
            </w:r>
            <w:r>
              <w:rPr>
                <w:rFonts w:hint="eastAsia" w:ascii="宋体" w:hAnsi="宋体" w:eastAsia="宋体" w:cs="宋体"/>
                <w:b w:val="0"/>
                <w:bCs w:val="0"/>
                <w:color w:val="auto"/>
                <w:kern w:val="2"/>
                <w:sz w:val="21"/>
                <w:szCs w:val="21"/>
                <w:highlight w:val="none"/>
                <w:lang w:val="en-US"/>
              </w:rPr>
              <w:t>，</w:t>
            </w:r>
            <w:r>
              <w:rPr>
                <w:rFonts w:hint="eastAsia" w:ascii="宋体" w:hAnsi="宋体" w:eastAsia="宋体" w:cs="宋体"/>
                <w:b w:val="0"/>
                <w:bCs w:val="0"/>
                <w:color w:val="auto"/>
                <w:kern w:val="2"/>
                <w:sz w:val="21"/>
                <w:szCs w:val="21"/>
                <w:highlight w:val="none"/>
                <w:lang w:val="en-US" w:eastAsia="zh-CN"/>
              </w:rPr>
              <w:t>采购人</w:t>
            </w:r>
            <w:r>
              <w:rPr>
                <w:rFonts w:hint="eastAsia" w:ascii="宋体" w:hAnsi="宋体" w:eastAsia="宋体" w:cs="宋体"/>
                <w:b w:val="0"/>
                <w:bCs w:val="0"/>
                <w:color w:val="auto"/>
                <w:kern w:val="2"/>
                <w:sz w:val="21"/>
                <w:szCs w:val="21"/>
                <w:highlight w:val="none"/>
                <w:lang w:val="en-US"/>
              </w:rPr>
              <w:t>在收到付款申请的 15 个工作日内</w:t>
            </w:r>
            <w:r>
              <w:rPr>
                <w:rFonts w:hint="eastAsia" w:ascii="宋体" w:hAnsi="宋体" w:eastAsia="宋体" w:cs="宋体"/>
                <w:b w:val="0"/>
                <w:bCs w:val="0"/>
                <w:color w:val="auto"/>
                <w:kern w:val="2"/>
                <w:sz w:val="21"/>
                <w:szCs w:val="21"/>
                <w:highlight w:val="none"/>
                <w:lang w:val="en-US" w:eastAsia="zh-CN"/>
              </w:rPr>
              <w:t>，</w:t>
            </w:r>
            <w:r>
              <w:rPr>
                <w:rFonts w:hint="eastAsia" w:ascii="宋体" w:hAnsi="宋体" w:eastAsia="宋体" w:cs="宋体"/>
                <w:b w:val="0"/>
                <w:bCs w:val="0"/>
                <w:color w:val="auto"/>
                <w:kern w:val="2"/>
                <w:sz w:val="21"/>
                <w:szCs w:val="21"/>
                <w:highlight w:val="none"/>
                <w:lang w:val="en-US"/>
              </w:rPr>
              <w:t>向</w:t>
            </w:r>
            <w:r>
              <w:rPr>
                <w:rFonts w:hint="eastAsia" w:ascii="宋体" w:hAnsi="宋体" w:eastAsia="宋体" w:cs="宋体"/>
                <w:b w:val="0"/>
                <w:bCs w:val="0"/>
                <w:color w:val="auto"/>
                <w:kern w:val="2"/>
                <w:sz w:val="21"/>
                <w:szCs w:val="21"/>
                <w:highlight w:val="none"/>
                <w:lang w:val="en-US" w:eastAsia="zh-CN"/>
              </w:rPr>
              <w:t>供应商</w:t>
            </w:r>
          </w:p>
          <w:p w14:paraId="744A0179">
            <w:pPr>
              <w:pStyle w:val="2"/>
              <w:keepNext w:val="0"/>
              <w:keepLines w:val="0"/>
              <w:pageBreakBefore w:val="0"/>
              <w:widowControl w:val="0"/>
              <w:kinsoku/>
              <w:wordWrap/>
              <w:overflowPunct/>
              <w:topLinePunct w:val="0"/>
              <w:autoSpaceDE w:val="0"/>
              <w:autoSpaceDN w:val="0"/>
              <w:bidi w:val="0"/>
              <w:adjustRightInd w:val="0"/>
              <w:snapToGrid/>
              <w:spacing w:line="360" w:lineRule="auto"/>
              <w:ind w:left="0" w:leftChars="0" w:firstLine="0" w:firstLineChars="0"/>
              <w:textAlignment w:val="auto"/>
              <w:rPr>
                <w:rFonts w:hint="eastAsia" w:ascii="宋体" w:hAnsi="宋体" w:eastAsia="宋体" w:cs="宋体"/>
                <w:b w:val="0"/>
                <w:bCs w:val="0"/>
                <w:color w:val="auto"/>
                <w:kern w:val="2"/>
                <w:sz w:val="21"/>
                <w:szCs w:val="21"/>
                <w:highlight w:val="none"/>
                <w:lang w:val="en-US" w:eastAsia="zh-CN"/>
              </w:rPr>
            </w:pPr>
            <w:r>
              <w:rPr>
                <w:rFonts w:hint="eastAsia" w:ascii="宋体" w:hAnsi="宋体" w:eastAsia="宋体" w:cs="宋体"/>
                <w:b w:val="0"/>
                <w:bCs w:val="0"/>
                <w:color w:val="auto"/>
                <w:kern w:val="2"/>
                <w:sz w:val="21"/>
                <w:szCs w:val="21"/>
                <w:highlight w:val="none"/>
                <w:lang w:val="en-US"/>
              </w:rPr>
              <w:t>支付维护总款项的50%。</w:t>
            </w:r>
            <w:r>
              <w:rPr>
                <w:rFonts w:hint="eastAsia" w:ascii="宋体" w:hAnsi="宋体" w:eastAsia="宋体" w:cs="宋体"/>
                <w:b w:val="0"/>
                <w:bCs w:val="0"/>
                <w:color w:val="auto"/>
                <w:kern w:val="2"/>
                <w:sz w:val="21"/>
                <w:szCs w:val="21"/>
                <w:highlight w:val="none"/>
                <w:lang w:val="en-US" w:eastAsia="zh-CN"/>
              </w:rPr>
              <w:t>供应商</w:t>
            </w:r>
            <w:r>
              <w:rPr>
                <w:rFonts w:hint="eastAsia" w:ascii="宋体" w:hAnsi="宋体" w:eastAsia="宋体" w:cs="宋体"/>
                <w:b w:val="0"/>
                <w:bCs w:val="0"/>
                <w:color w:val="auto"/>
                <w:kern w:val="2"/>
                <w:sz w:val="21"/>
                <w:szCs w:val="21"/>
                <w:highlight w:val="none"/>
                <w:lang w:val="en-US"/>
              </w:rPr>
              <w:t>凭</w:t>
            </w:r>
            <w:r>
              <w:rPr>
                <w:rFonts w:hint="eastAsia" w:ascii="宋体" w:hAnsi="宋体" w:eastAsia="宋体" w:cs="宋体"/>
                <w:b w:val="0"/>
                <w:bCs w:val="0"/>
                <w:color w:val="auto"/>
                <w:kern w:val="2"/>
                <w:sz w:val="21"/>
                <w:szCs w:val="21"/>
                <w:highlight w:val="none"/>
                <w:lang w:val="en-US" w:eastAsia="zh-CN"/>
              </w:rPr>
              <w:t>合同、供应商</w:t>
            </w:r>
            <w:r>
              <w:rPr>
                <w:rFonts w:hint="eastAsia" w:ascii="宋体" w:hAnsi="宋体" w:eastAsia="宋体" w:cs="宋体"/>
                <w:b w:val="0"/>
                <w:bCs w:val="0"/>
                <w:color w:val="auto"/>
                <w:kern w:val="2"/>
                <w:sz w:val="21"/>
                <w:szCs w:val="21"/>
                <w:highlight w:val="none"/>
                <w:lang w:val="en-US"/>
              </w:rPr>
              <w:t>开具的正式发票</w:t>
            </w:r>
            <w:r>
              <w:rPr>
                <w:rFonts w:hint="eastAsia" w:ascii="宋体" w:hAnsi="宋体" w:eastAsia="宋体" w:cs="宋体"/>
                <w:b w:val="0"/>
                <w:bCs w:val="0"/>
                <w:color w:val="auto"/>
                <w:kern w:val="2"/>
                <w:sz w:val="21"/>
                <w:szCs w:val="21"/>
                <w:highlight w:val="none"/>
                <w:lang w:val="en-US" w:eastAsia="zh-CN"/>
              </w:rPr>
              <w:t>及</w:t>
            </w:r>
            <w:r>
              <w:rPr>
                <w:rFonts w:hint="eastAsia" w:ascii="宋体" w:hAnsi="宋体" w:eastAsia="宋体" w:cs="宋体"/>
                <w:b w:val="0"/>
                <w:bCs w:val="0"/>
                <w:color w:val="auto"/>
                <w:kern w:val="2"/>
                <w:sz w:val="21"/>
                <w:szCs w:val="21"/>
                <w:highlight w:val="none"/>
                <w:lang w:val="en-US"/>
              </w:rPr>
              <w:t>维保报告/验收报告（加盖</w:t>
            </w:r>
            <w:r>
              <w:rPr>
                <w:rFonts w:hint="eastAsia" w:ascii="宋体" w:hAnsi="宋体" w:eastAsia="宋体" w:cs="宋体"/>
                <w:b w:val="0"/>
                <w:bCs w:val="0"/>
                <w:color w:val="auto"/>
                <w:kern w:val="2"/>
                <w:sz w:val="21"/>
                <w:szCs w:val="21"/>
                <w:highlight w:val="none"/>
                <w:lang w:val="en-US" w:eastAsia="zh-CN"/>
              </w:rPr>
              <w:t>采购人</w:t>
            </w:r>
            <w:r>
              <w:rPr>
                <w:rFonts w:hint="eastAsia" w:ascii="宋体" w:hAnsi="宋体" w:eastAsia="宋体" w:cs="宋体"/>
                <w:b w:val="0"/>
                <w:bCs w:val="0"/>
                <w:color w:val="auto"/>
                <w:kern w:val="2"/>
                <w:sz w:val="21"/>
                <w:szCs w:val="21"/>
                <w:highlight w:val="none"/>
                <w:lang w:val="en-US"/>
              </w:rPr>
              <w:t>公章）</w:t>
            </w:r>
            <w:r>
              <w:rPr>
                <w:rFonts w:hint="eastAsia" w:ascii="宋体" w:hAnsi="宋体" w:eastAsia="宋体" w:cs="宋体"/>
                <w:b w:val="0"/>
                <w:bCs w:val="0"/>
                <w:color w:val="auto"/>
                <w:kern w:val="2"/>
                <w:sz w:val="21"/>
                <w:szCs w:val="21"/>
                <w:highlight w:val="none"/>
                <w:lang w:val="en-US" w:eastAsia="zh-CN"/>
              </w:rPr>
              <w:t>等</w:t>
            </w:r>
            <w:r>
              <w:rPr>
                <w:rFonts w:hint="eastAsia" w:ascii="宋体" w:hAnsi="宋体" w:eastAsia="宋体" w:cs="宋体"/>
                <w:b w:val="0"/>
                <w:bCs w:val="0"/>
                <w:color w:val="auto"/>
                <w:kern w:val="2"/>
                <w:sz w:val="21"/>
                <w:szCs w:val="21"/>
                <w:highlight w:val="none"/>
                <w:lang w:val="en-US"/>
              </w:rPr>
              <w:t>有效文件与</w:t>
            </w:r>
            <w:r>
              <w:rPr>
                <w:rFonts w:hint="eastAsia" w:ascii="宋体" w:hAnsi="宋体" w:eastAsia="宋体" w:cs="宋体"/>
                <w:b w:val="0"/>
                <w:bCs w:val="0"/>
                <w:color w:val="auto"/>
                <w:kern w:val="2"/>
                <w:sz w:val="21"/>
                <w:szCs w:val="21"/>
                <w:highlight w:val="none"/>
                <w:lang w:val="en-US" w:eastAsia="zh-CN"/>
              </w:rPr>
              <w:t>采购人</w:t>
            </w:r>
            <w:r>
              <w:rPr>
                <w:rFonts w:hint="eastAsia" w:ascii="宋体" w:hAnsi="宋体" w:eastAsia="宋体" w:cs="宋体"/>
                <w:b w:val="0"/>
                <w:bCs w:val="0"/>
                <w:color w:val="auto"/>
                <w:kern w:val="2"/>
                <w:sz w:val="21"/>
                <w:szCs w:val="21"/>
                <w:highlight w:val="none"/>
                <w:lang w:val="en-US"/>
              </w:rPr>
              <w:t>结算</w:t>
            </w:r>
            <w:r>
              <w:rPr>
                <w:rFonts w:hint="eastAsia" w:ascii="宋体" w:hAnsi="宋体" w:eastAsia="宋体" w:cs="宋体"/>
                <w:b w:val="0"/>
                <w:bCs w:val="0"/>
                <w:color w:val="auto"/>
                <w:kern w:val="2"/>
                <w:sz w:val="21"/>
                <w:szCs w:val="21"/>
                <w:highlight w:val="none"/>
                <w:lang w:val="en-US" w:eastAsia="zh-CN"/>
              </w:rPr>
              <w:t>。</w:t>
            </w:r>
          </w:p>
          <w:p w14:paraId="5B7FA672">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val="0"/>
                <w:bCs w:val="0"/>
                <w:color w:val="auto"/>
                <w:kern w:val="2"/>
                <w:sz w:val="21"/>
                <w:szCs w:val="21"/>
                <w:highlight w:val="none"/>
                <w:lang w:val="en-US" w:eastAsia="zh-CN"/>
              </w:rPr>
              <w:t>（3）如采购人</w:t>
            </w:r>
            <w:r>
              <w:rPr>
                <w:rFonts w:hint="eastAsia" w:ascii="宋体" w:hAnsi="宋体" w:eastAsia="宋体" w:cs="宋体"/>
                <w:b w:val="0"/>
                <w:bCs w:val="0"/>
                <w:color w:val="auto"/>
                <w:kern w:val="2"/>
                <w:sz w:val="21"/>
                <w:szCs w:val="21"/>
                <w:highlight w:val="none"/>
                <w:lang w:val="en-US"/>
              </w:rPr>
              <w:t>使用的是</w:t>
            </w:r>
            <w:r>
              <w:rPr>
                <w:rFonts w:hint="eastAsia" w:ascii="宋体" w:hAnsi="宋体" w:eastAsia="宋体" w:cs="宋体"/>
                <w:b w:val="0"/>
                <w:bCs w:val="0"/>
                <w:color w:val="auto"/>
                <w:kern w:val="2"/>
                <w:sz w:val="21"/>
                <w:szCs w:val="21"/>
                <w:highlight w:val="none"/>
                <w:lang w:val="en-US" w:eastAsia="zh-CN"/>
              </w:rPr>
              <w:t>地方</w:t>
            </w:r>
            <w:r>
              <w:rPr>
                <w:rFonts w:hint="eastAsia" w:ascii="宋体" w:hAnsi="宋体" w:eastAsia="宋体" w:cs="宋体"/>
                <w:b w:val="0"/>
                <w:bCs w:val="0"/>
                <w:color w:val="auto"/>
                <w:kern w:val="2"/>
                <w:sz w:val="21"/>
                <w:szCs w:val="21"/>
                <w:highlight w:val="none"/>
                <w:lang w:val="en-US"/>
              </w:rPr>
              <w:t>财政资金，</w:t>
            </w:r>
            <w:r>
              <w:rPr>
                <w:rFonts w:hint="eastAsia" w:ascii="宋体" w:hAnsi="宋体" w:eastAsia="宋体" w:cs="宋体"/>
                <w:b w:val="0"/>
                <w:bCs w:val="0"/>
                <w:color w:val="auto"/>
                <w:kern w:val="2"/>
                <w:sz w:val="21"/>
                <w:szCs w:val="21"/>
                <w:highlight w:val="none"/>
                <w:lang w:val="en-US" w:eastAsia="zh-CN"/>
              </w:rPr>
              <w:t>采购人</w:t>
            </w:r>
            <w:r>
              <w:rPr>
                <w:rFonts w:hint="eastAsia" w:ascii="宋体" w:hAnsi="宋体" w:eastAsia="宋体" w:cs="宋体"/>
                <w:b w:val="0"/>
                <w:bCs w:val="0"/>
                <w:color w:val="auto"/>
                <w:kern w:val="2"/>
                <w:sz w:val="21"/>
                <w:szCs w:val="21"/>
                <w:highlight w:val="none"/>
                <w:lang w:val="en-US"/>
              </w:rPr>
              <w:t>在前款规定的付款时间为向政府采购支付部门提出办理财政支付申请手续的时间（不含政府财政支付部门审核的时间），在规定时间内提出支付申请手续后即视为</w:t>
            </w:r>
            <w:r>
              <w:rPr>
                <w:rFonts w:hint="eastAsia" w:ascii="宋体" w:hAnsi="宋体" w:eastAsia="宋体" w:cs="宋体"/>
                <w:b w:val="0"/>
                <w:bCs w:val="0"/>
                <w:color w:val="auto"/>
                <w:kern w:val="2"/>
                <w:sz w:val="21"/>
                <w:szCs w:val="21"/>
                <w:highlight w:val="none"/>
                <w:lang w:val="en-US" w:eastAsia="zh-CN"/>
              </w:rPr>
              <w:t>采购人</w:t>
            </w:r>
            <w:r>
              <w:rPr>
                <w:rFonts w:hint="eastAsia" w:ascii="宋体" w:hAnsi="宋体" w:eastAsia="宋体" w:cs="宋体"/>
                <w:b w:val="0"/>
                <w:bCs w:val="0"/>
                <w:color w:val="auto"/>
                <w:kern w:val="2"/>
                <w:sz w:val="21"/>
                <w:szCs w:val="21"/>
                <w:highlight w:val="none"/>
                <w:lang w:val="en-US"/>
              </w:rPr>
              <w:t>已经按期支付。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0FB1">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完全响应</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E780F">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是</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EC9B2">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D9421">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E6525">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p>
        </w:tc>
      </w:tr>
      <w:tr w14:paraId="19141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28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18D173">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报价合计(元）</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6E78C">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i w:val="0"/>
                <w:iCs w:val="0"/>
                <w:color w:val="000000"/>
                <w:sz w:val="21"/>
                <w:szCs w:val="21"/>
                <w:u w:val="none"/>
              </w:rPr>
            </w:pPr>
          </w:p>
        </w:tc>
      </w:tr>
    </w:tbl>
    <w:p w14:paraId="7696A3CB"/>
    <w:p w14:paraId="7D8709F0">
      <w:pPr>
        <w:pStyle w:val="2"/>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报价单位（公章）：</w:t>
      </w:r>
    </w:p>
    <w:p w14:paraId="1E556C71">
      <w:pPr>
        <w:pStyle w:val="2"/>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报价日期：</w:t>
      </w:r>
    </w:p>
    <w:sectPr>
      <w:footerReference r:id="rId3" w:type="default"/>
      <w:pgSz w:w="16838" w:h="11906" w:orient="landscape"/>
      <w:pgMar w:top="1191" w:right="1191" w:bottom="1020" w:left="119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E8FC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705680">
                          <w:pPr>
                            <w:pStyle w:val="4"/>
                          </w:pPr>
                          <w:r>
                            <w:t xml:space="preserve">第 </w:t>
                          </w:r>
                          <w:r>
                            <w:fldChar w:fldCharType="begin"/>
                          </w:r>
                          <w:r>
                            <w:instrText xml:space="preserve"> PAGE  \* MERGEFORMAT </w:instrText>
                          </w:r>
                          <w:r>
                            <w:fldChar w:fldCharType="separate"/>
                          </w:r>
                          <w:r>
                            <w:t>一</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705680">
                    <w:pPr>
                      <w:pStyle w:val="4"/>
                    </w:pPr>
                    <w:r>
                      <w:t xml:space="preserve">第 </w:t>
                    </w:r>
                    <w:r>
                      <w:fldChar w:fldCharType="begin"/>
                    </w:r>
                    <w:r>
                      <w:instrText xml:space="preserve"> PAGE  \* MERGEFORMAT </w:instrText>
                    </w:r>
                    <w:r>
                      <w:fldChar w:fldCharType="separate"/>
                    </w:r>
                    <w:r>
                      <w:t>一</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CA515"/>
    <w:multiLevelType w:val="singleLevel"/>
    <w:tmpl w:val="3DBCA51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hYmYyMDVmODQ2MTc2YTQyZTE3ZDE5ODU1MmU1ZTIifQ=="/>
  </w:docVars>
  <w:rsids>
    <w:rsidRoot w:val="00000000"/>
    <w:rsid w:val="01DA5C6C"/>
    <w:rsid w:val="08251EAA"/>
    <w:rsid w:val="0D373C46"/>
    <w:rsid w:val="22035426"/>
    <w:rsid w:val="25A03144"/>
    <w:rsid w:val="308B46F0"/>
    <w:rsid w:val="4D2E66D8"/>
    <w:rsid w:val="587F3F33"/>
    <w:rsid w:val="6884728A"/>
    <w:rsid w:val="6CE16E6B"/>
    <w:rsid w:val="6FA43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正文正"/>
    <w:basedOn w:val="3"/>
    <w:qFormat/>
    <w:uiPriority w:val="0"/>
    <w:pPr>
      <w:spacing w:line="560" w:lineRule="exact"/>
      <w:ind w:firstLine="561"/>
    </w:pPr>
    <w:rPr>
      <w:rFonts w:ascii="Calibri" w:hAnsi="Calibri"/>
      <w:sz w:val="28"/>
      <w:szCs w:val="24"/>
    </w:rPr>
  </w:style>
  <w:style w:type="paragraph" w:customStyle="1" w:styleId="3">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UserStyle_43"/>
    <w:basedOn w:val="9"/>
    <w:qFormat/>
    <w:uiPriority w:val="0"/>
    <w:rPr>
      <w:rFonts w:ascii="宋体" w:hAnsi="Courier New"/>
      <w:szCs w:val="21"/>
    </w:rPr>
  </w:style>
  <w:style w:type="paragraph" w:customStyle="1" w:styleId="9">
    <w:name w:val="UserStyle_30"/>
    <w:next w:val="10"/>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customStyle="1" w:styleId="10">
    <w:name w:val="UserStyle_20"/>
    <w:basedOn w:val="11"/>
    <w:qFormat/>
    <w:uiPriority w:val="0"/>
    <w:pPr>
      <w:spacing w:line="560" w:lineRule="exact"/>
      <w:ind w:firstLine="561"/>
    </w:pPr>
    <w:rPr>
      <w:rFonts w:eastAsia="仿宋_GB2312"/>
      <w:sz w:val="28"/>
    </w:rPr>
  </w:style>
  <w:style w:type="paragraph" w:customStyle="1" w:styleId="11">
    <w:name w:val="UserStyle_24"/>
    <w:next w:val="10"/>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customStyle="1" w:styleId="12">
    <w:name w:val="NormalCharacter"/>
    <w:qFormat/>
    <w:uiPriority w:val="0"/>
  </w:style>
  <w:style w:type="paragraph" w:customStyle="1" w:styleId="13">
    <w:name w:val="179"/>
    <w:basedOn w:val="9"/>
    <w:qFormat/>
    <w:uiPriority w:val="0"/>
    <w:pPr>
      <w:ind w:firstLine="420" w:firstLineChars="200"/>
    </w:pPr>
    <w:rPr>
      <w:rFonts w:ascii="Calibri" w:hAnsi="Calibri"/>
      <w:szCs w:val="22"/>
    </w:rPr>
  </w:style>
  <w:style w:type="paragraph" w:customStyle="1" w:styleId="14">
    <w:name w:val="_Style 13"/>
    <w:qFormat/>
    <w:uiPriority w:val="0"/>
    <w:pPr>
      <w:spacing w:before="120" w:after="120" w:line="288" w:lineRule="auto"/>
    </w:pPr>
    <w:rPr>
      <w:rFonts w:ascii="Arial" w:hAnsi="Arial" w:eastAsia="等线" w:cs="Arial"/>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1694</Words>
  <Characters>1792</Characters>
  <Lines>0</Lines>
  <Paragraphs>0</Paragraphs>
  <TotalTime>1</TotalTime>
  <ScaleCrop>false</ScaleCrop>
  <LinksUpToDate>false</LinksUpToDate>
  <CharactersWithSpaces>1928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2025-09-15T10:05:00Z</dcterms:created>
  <dc:creator>123</dc:creator>
  <cp:lastModifiedBy>Daishaoc</cp:lastModifiedBy>
  <dcterms:modified xsi:type="dcterms:W3CDTF">2026-03-18T07:32:29Z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BCCA7EA7B0534042A7A401879EC817F2_12</vt:lpwstr>
  </property>
  <property fmtid="{D5CDD505-2E9C-101B-9397-08002B2CF9AE}" pid="4" name="KSOTemplateDocerSaveRecord">
    <vt:lpwstr>eyJoZGlkIjoiYjkzN2U4ZjJkNTJjNDgxYmI4N2M2Mjg5YjVmOTg1NDkiLCJ1c2VySWQiOiI2NTU3NzExNTAifQ==</vt:lpwstr>
  </property>
</Properties>
</file>