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30C3BF">
      <w:pPr>
        <w:jc w:val="center"/>
        <w:rPr>
          <w:rFonts w:hint="eastAsia" w:ascii="宋体" w:hAnsi="宋体" w:eastAsia="宋体" w:cs="宋体"/>
          <w:b/>
          <w:bCs/>
          <w:sz w:val="44"/>
          <w:szCs w:val="44"/>
        </w:rPr>
      </w:pPr>
      <w:r>
        <w:rPr>
          <w:rFonts w:hint="eastAsia" w:ascii="宋体" w:hAnsi="宋体" w:eastAsia="宋体" w:cs="宋体"/>
          <w:b/>
          <w:bCs/>
          <w:sz w:val="44"/>
          <w:szCs w:val="44"/>
        </w:rPr>
        <w:t>电子询价报价一览表</w:t>
      </w:r>
    </w:p>
    <w:p w14:paraId="071C65A0">
      <w:pPr>
        <w:pStyle w:val="3"/>
        <w:spacing w:line="360" w:lineRule="auto"/>
        <w:rPr>
          <w:rFonts w:hint="eastAsia" w:ascii="宋体" w:hAnsi="宋体" w:eastAsia="宋体" w:cs="宋体"/>
        </w:rPr>
      </w:pPr>
    </w:p>
    <w:p w14:paraId="7677F6A9">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项目名称：仁化县人民法院董塘法庭智慧法庭租赁项目</w:t>
      </w:r>
    </w:p>
    <w:p w14:paraId="7CBBA14A">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项目编号：2026-120-GDHZ-DZX</w:t>
      </w:r>
    </w:p>
    <w:p w14:paraId="44F7F883">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预算金额：¥150,000.00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618"/>
        <w:gridCol w:w="2942"/>
        <w:gridCol w:w="2095"/>
        <w:gridCol w:w="2370"/>
        <w:gridCol w:w="1168"/>
        <w:gridCol w:w="1513"/>
      </w:tblGrid>
      <w:tr w14:paraId="1AED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97" w:hRule="atLeast"/>
          <w:jc w:val="center"/>
        </w:trPr>
        <w:tc>
          <w:tcPr>
            <w:tcW w:w="0" w:type="auto"/>
            <w:shd w:val="clear" w:color="auto" w:fill="FFFFFF"/>
            <w:noWrap w:val="0"/>
            <w:tcMar>
              <w:top w:w="60" w:type="dxa"/>
              <w:left w:w="120" w:type="dxa"/>
              <w:bottom w:w="60" w:type="dxa"/>
              <w:right w:w="120" w:type="dxa"/>
            </w:tcMar>
            <w:vAlign w:val="center"/>
          </w:tcPr>
          <w:p w14:paraId="06AD437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序号</w:t>
            </w:r>
          </w:p>
        </w:tc>
        <w:tc>
          <w:tcPr>
            <w:tcW w:w="0" w:type="auto"/>
            <w:shd w:val="clear" w:color="auto" w:fill="FFFFFF"/>
            <w:noWrap w:val="0"/>
            <w:tcMar>
              <w:top w:w="60" w:type="dxa"/>
              <w:left w:w="120" w:type="dxa"/>
              <w:bottom w:w="60" w:type="dxa"/>
              <w:right w:w="120" w:type="dxa"/>
            </w:tcMar>
            <w:vAlign w:val="center"/>
          </w:tcPr>
          <w:p w14:paraId="1162B31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采购内容</w:t>
            </w:r>
          </w:p>
        </w:tc>
        <w:tc>
          <w:tcPr>
            <w:tcW w:w="0" w:type="auto"/>
            <w:shd w:val="clear" w:color="auto" w:fill="FFFFFF"/>
            <w:noWrap w:val="0"/>
            <w:tcMar>
              <w:top w:w="60" w:type="dxa"/>
              <w:left w:w="120" w:type="dxa"/>
              <w:bottom w:w="60" w:type="dxa"/>
              <w:right w:w="120" w:type="dxa"/>
            </w:tcMar>
            <w:vAlign w:val="center"/>
          </w:tcPr>
          <w:p w14:paraId="3019C3C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采购需求的技术、服务要求</w:t>
            </w:r>
          </w:p>
        </w:tc>
        <w:tc>
          <w:tcPr>
            <w:tcW w:w="0" w:type="auto"/>
            <w:shd w:val="clear" w:color="auto" w:fill="FFFFFF"/>
            <w:noWrap w:val="0"/>
            <w:tcMar>
              <w:top w:w="60" w:type="dxa"/>
              <w:left w:w="120" w:type="dxa"/>
              <w:bottom w:w="60" w:type="dxa"/>
              <w:right w:w="120" w:type="dxa"/>
            </w:tcMar>
            <w:vAlign w:val="center"/>
          </w:tcPr>
          <w:p w14:paraId="7A8EE0A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报价产品的技术、服务响应情况</w:t>
            </w:r>
          </w:p>
        </w:tc>
        <w:tc>
          <w:tcPr>
            <w:tcW w:w="0" w:type="auto"/>
            <w:shd w:val="clear" w:color="auto" w:fill="FFFFFF"/>
            <w:noWrap w:val="0"/>
            <w:tcMar>
              <w:top w:w="60" w:type="dxa"/>
              <w:left w:w="120" w:type="dxa"/>
              <w:bottom w:w="60" w:type="dxa"/>
              <w:right w:w="120" w:type="dxa"/>
            </w:tcMar>
            <w:vAlign w:val="center"/>
          </w:tcPr>
          <w:p w14:paraId="0C9E8AE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是否满足要求</w:t>
            </w:r>
          </w:p>
        </w:tc>
        <w:tc>
          <w:tcPr>
            <w:tcW w:w="0" w:type="auto"/>
            <w:shd w:val="clear" w:color="auto" w:fill="FFFFFF"/>
            <w:noWrap w:val="0"/>
            <w:tcMar>
              <w:top w:w="60" w:type="dxa"/>
              <w:left w:w="120" w:type="dxa"/>
              <w:bottom w:w="60" w:type="dxa"/>
              <w:right w:w="120" w:type="dxa"/>
            </w:tcMar>
            <w:vAlign w:val="center"/>
          </w:tcPr>
          <w:p w14:paraId="27FB09B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响应报价（元）</w:t>
            </w:r>
          </w:p>
        </w:tc>
      </w:tr>
      <w:tr w14:paraId="14F2B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97" w:hRule="atLeast"/>
          <w:jc w:val="center"/>
        </w:trPr>
        <w:tc>
          <w:tcPr>
            <w:tcW w:w="0" w:type="auto"/>
            <w:shd w:val="clear" w:color="auto" w:fill="FFFFFF"/>
            <w:noWrap w:val="0"/>
            <w:tcMar>
              <w:top w:w="60" w:type="dxa"/>
              <w:left w:w="120" w:type="dxa"/>
              <w:bottom w:w="60" w:type="dxa"/>
              <w:right w:w="120" w:type="dxa"/>
            </w:tcMar>
            <w:vAlign w:val="center"/>
          </w:tcPr>
          <w:p w14:paraId="2A5E1B6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val="0"/>
                <w:bCs w:val="0"/>
                <w:i w:val="0"/>
                <w:iCs w:val="0"/>
                <w:caps w:val="0"/>
                <w:color w:val="auto"/>
                <w:spacing w:val="0"/>
                <w:sz w:val="24"/>
                <w:szCs w:val="24"/>
                <w:lang w:val="en-US" w:eastAsia="zh-CN"/>
              </w:rPr>
            </w:pPr>
            <w:r>
              <w:rPr>
                <w:rFonts w:hint="eastAsia" w:ascii="宋体" w:hAnsi="宋体" w:eastAsia="宋体" w:cs="宋体"/>
                <w:b w:val="0"/>
                <w:bCs w:val="0"/>
                <w:i w:val="0"/>
                <w:iCs w:val="0"/>
                <w:caps w:val="0"/>
                <w:color w:val="auto"/>
                <w:spacing w:val="0"/>
                <w:sz w:val="24"/>
                <w:szCs w:val="24"/>
                <w:lang w:val="en-US" w:eastAsia="zh-CN"/>
              </w:rPr>
              <w:t>1</w:t>
            </w:r>
          </w:p>
        </w:tc>
        <w:tc>
          <w:tcPr>
            <w:tcW w:w="0" w:type="auto"/>
            <w:shd w:val="clear" w:color="auto" w:fill="FFFFFF"/>
            <w:noWrap w:val="0"/>
            <w:tcMar>
              <w:top w:w="60" w:type="dxa"/>
              <w:left w:w="120" w:type="dxa"/>
              <w:bottom w:w="60" w:type="dxa"/>
              <w:right w:w="120" w:type="dxa"/>
            </w:tcMar>
            <w:vAlign w:val="center"/>
          </w:tcPr>
          <w:p w14:paraId="36A1AAA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Style w:val="13"/>
                <w:rFonts w:hint="eastAsia" w:ascii="宋体" w:hAnsi="宋体" w:eastAsia="宋体" w:cs="宋体"/>
                <w:b w:val="0"/>
                <w:bCs w:val="0"/>
                <w:i w:val="0"/>
                <w:iCs w:val="0"/>
                <w:caps w:val="0"/>
                <w:color w:val="auto"/>
                <w:spacing w:val="0"/>
                <w:sz w:val="24"/>
                <w:szCs w:val="24"/>
                <w:lang w:eastAsia="zh-CN"/>
              </w:rPr>
            </w:pPr>
            <w:r>
              <w:rPr>
                <w:rStyle w:val="13"/>
                <w:rFonts w:hint="eastAsia" w:ascii="宋体" w:hAnsi="宋体" w:eastAsia="宋体" w:cs="宋体"/>
                <w:b w:val="0"/>
                <w:bCs w:val="0"/>
                <w:i w:val="0"/>
                <w:iCs w:val="0"/>
                <w:caps w:val="0"/>
                <w:color w:val="auto"/>
                <w:spacing w:val="0"/>
                <w:sz w:val="24"/>
                <w:szCs w:val="24"/>
                <w:lang w:eastAsia="zh-CN"/>
              </w:rPr>
              <w:t>仁化县人民法院董塘法庭智慧法庭租赁项目</w:t>
            </w:r>
          </w:p>
        </w:tc>
        <w:tc>
          <w:tcPr>
            <w:tcW w:w="0" w:type="auto"/>
            <w:shd w:val="clear" w:color="auto" w:fill="FFFFFF"/>
            <w:noWrap w:val="0"/>
            <w:tcMar>
              <w:top w:w="60" w:type="dxa"/>
              <w:left w:w="120" w:type="dxa"/>
              <w:bottom w:w="60" w:type="dxa"/>
              <w:right w:w="120" w:type="dxa"/>
            </w:tcMar>
            <w:vAlign w:val="center"/>
          </w:tcPr>
          <w:p w14:paraId="3CD2040D">
            <w:pPr>
              <w:spacing w:line="360" w:lineRule="auto"/>
              <w:jc w:val="center"/>
              <w:rPr>
                <w:rFonts w:hint="eastAsia" w:ascii="宋体" w:hAnsi="宋体" w:eastAsia="宋体" w:cs="宋体"/>
                <w:b w:val="0"/>
                <w:bCs w:val="0"/>
                <w:i w:val="0"/>
                <w:iCs w:val="0"/>
                <w:caps w:val="0"/>
                <w:color w:val="auto"/>
                <w:spacing w:val="0"/>
                <w:sz w:val="24"/>
                <w:szCs w:val="24"/>
                <w:lang w:val="en-US" w:eastAsia="zh-CN"/>
              </w:rPr>
            </w:pPr>
            <w:r>
              <w:rPr>
                <w:rFonts w:hint="eastAsia" w:ascii="宋体" w:hAnsi="宋体" w:eastAsia="宋体" w:cs="宋体"/>
                <w:b w:val="0"/>
                <w:bCs w:val="0"/>
                <w:i w:val="0"/>
                <w:iCs w:val="0"/>
                <w:caps w:val="0"/>
                <w:color w:val="auto"/>
                <w:spacing w:val="0"/>
                <w:sz w:val="24"/>
                <w:szCs w:val="24"/>
                <w:lang w:val="en-US" w:eastAsia="zh-CN"/>
              </w:rPr>
              <w:t>详见《采购需求》</w:t>
            </w:r>
          </w:p>
        </w:tc>
        <w:tc>
          <w:tcPr>
            <w:tcW w:w="0" w:type="auto"/>
            <w:shd w:val="clear" w:color="auto" w:fill="FFFFFF"/>
            <w:noWrap w:val="0"/>
            <w:tcMar>
              <w:top w:w="60" w:type="dxa"/>
              <w:left w:w="120" w:type="dxa"/>
              <w:bottom w:w="60" w:type="dxa"/>
              <w:right w:w="120" w:type="dxa"/>
            </w:tcMar>
            <w:vAlign w:val="center"/>
          </w:tcPr>
          <w:p w14:paraId="0AC910AF">
            <w:pPr>
              <w:spacing w:line="360" w:lineRule="auto"/>
              <w:jc w:val="cente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完全响应</w:t>
            </w:r>
          </w:p>
        </w:tc>
        <w:tc>
          <w:tcPr>
            <w:tcW w:w="0" w:type="auto"/>
            <w:shd w:val="clear" w:color="auto" w:fill="FFFFFF"/>
            <w:noWrap w:val="0"/>
            <w:tcMar>
              <w:top w:w="60" w:type="dxa"/>
              <w:left w:w="120" w:type="dxa"/>
              <w:bottom w:w="60" w:type="dxa"/>
              <w:right w:w="120" w:type="dxa"/>
            </w:tcMar>
            <w:vAlign w:val="center"/>
          </w:tcPr>
          <w:p w14:paraId="0A6673E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val="0"/>
                <w:bCs w:val="0"/>
                <w:i w:val="0"/>
                <w:iCs w:val="0"/>
                <w:caps w:val="0"/>
                <w:color w:val="auto"/>
                <w:spacing w:val="0"/>
                <w:sz w:val="24"/>
                <w:szCs w:val="24"/>
                <w:lang w:val="en-US" w:eastAsia="zh-CN"/>
              </w:rPr>
            </w:pPr>
            <w:r>
              <w:rPr>
                <w:rFonts w:hint="eastAsia" w:ascii="宋体" w:hAnsi="宋体" w:eastAsia="宋体" w:cs="宋体"/>
                <w:color w:val="auto"/>
                <w:sz w:val="24"/>
                <w:lang w:val="en-US" w:eastAsia="zh-CN"/>
              </w:rPr>
              <w:t>满足</w:t>
            </w:r>
          </w:p>
        </w:tc>
        <w:tc>
          <w:tcPr>
            <w:tcW w:w="0" w:type="auto"/>
            <w:shd w:val="clear" w:color="auto" w:fill="FFFFFF"/>
            <w:noWrap w:val="0"/>
            <w:tcMar>
              <w:top w:w="60" w:type="dxa"/>
              <w:left w:w="120" w:type="dxa"/>
              <w:bottom w:w="60" w:type="dxa"/>
              <w:right w:w="120" w:type="dxa"/>
            </w:tcMar>
            <w:vAlign w:val="center"/>
          </w:tcPr>
          <w:p w14:paraId="5636E11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val="0"/>
                <w:bCs w:val="0"/>
                <w:i w:val="0"/>
                <w:iCs w:val="0"/>
                <w:caps w:val="0"/>
                <w:color w:val="auto"/>
                <w:spacing w:val="0"/>
                <w:sz w:val="24"/>
                <w:szCs w:val="24"/>
                <w:lang w:val="en-US" w:eastAsia="zh-CN"/>
              </w:rPr>
            </w:pPr>
            <w:r>
              <w:rPr>
                <w:rFonts w:hint="eastAsia" w:ascii="宋体" w:hAnsi="宋体" w:eastAsia="宋体" w:cs="宋体"/>
                <w:color w:val="auto"/>
                <w:sz w:val="24"/>
                <w:lang w:val="en-US" w:eastAsia="zh-CN"/>
              </w:rPr>
              <w:t>¥</w:t>
            </w:r>
          </w:p>
        </w:tc>
      </w:tr>
    </w:tbl>
    <w:p w14:paraId="47A36164">
      <w:pPr>
        <w:rPr>
          <w:rFonts w:hint="eastAsia" w:ascii="宋体" w:hAnsi="宋体" w:eastAsia="宋体" w:cs="宋体"/>
          <w:color w:val="auto"/>
          <w:kern w:val="2"/>
          <w:sz w:val="24"/>
          <w:szCs w:val="24"/>
          <w:highlight w:val="none"/>
          <w:lang w:val="en-US" w:eastAsia="zh-CN" w:bidi="ar-SA"/>
        </w:rPr>
      </w:pPr>
    </w:p>
    <w:p w14:paraId="2EAE81A7">
      <w:pPr>
        <w:rPr>
          <w:rFonts w:hint="eastAsia" w:ascii="宋体" w:hAnsi="宋体" w:eastAsia="宋体" w:cs="宋体"/>
          <w:color w:val="auto"/>
          <w:kern w:val="2"/>
          <w:sz w:val="24"/>
          <w:szCs w:val="24"/>
          <w:highlight w:val="none"/>
          <w:lang w:val="en-US" w:eastAsia="zh-CN" w:bidi="ar-SA"/>
        </w:rPr>
      </w:pPr>
    </w:p>
    <w:p w14:paraId="43D99B54">
      <w:pPr>
        <w:rPr>
          <w:rFonts w:hint="eastAsia" w:ascii="宋体" w:hAnsi="宋体" w:eastAsia="宋体" w:cs="宋体"/>
          <w:color w:val="auto"/>
          <w:kern w:val="2"/>
          <w:sz w:val="24"/>
          <w:szCs w:val="24"/>
          <w:highlight w:val="none"/>
          <w:lang w:val="en-US" w:eastAsia="zh-CN" w:bidi="ar-SA"/>
        </w:rPr>
      </w:pPr>
    </w:p>
    <w:p w14:paraId="09E1861F">
      <w:pPr>
        <w:rPr>
          <w:rFonts w:hint="eastAsia" w:ascii="宋体" w:hAnsi="宋体" w:eastAsia="宋体" w:cs="宋体"/>
          <w:color w:val="auto"/>
          <w:kern w:val="2"/>
          <w:sz w:val="24"/>
          <w:szCs w:val="24"/>
          <w:highlight w:val="none"/>
          <w:lang w:val="en-US" w:eastAsia="zh-CN" w:bidi="ar-SA"/>
        </w:rPr>
      </w:pPr>
    </w:p>
    <w:p w14:paraId="000A58DA">
      <w:pPr>
        <w:pStyle w:val="16"/>
        <w:ind w:left="0" w:leftChars="0" w:firstLine="0" w:firstLineChars="0"/>
        <w:rPr>
          <w:rFonts w:hint="eastAsia" w:ascii="宋体" w:hAnsi="宋体" w:eastAsia="宋体" w:cs="宋体"/>
          <w:sz w:val="21"/>
          <w:szCs w:val="21"/>
          <w:lang w:val="en-GB"/>
        </w:rPr>
      </w:pPr>
    </w:p>
    <w:p w14:paraId="69243670">
      <w:pPr>
        <w:adjustRightInd w:val="0"/>
        <w:snapToGrid w:val="0"/>
        <w:spacing w:line="360" w:lineRule="auto"/>
        <w:ind w:right="105" w:rightChars="50" w:firstLine="544" w:firstLineChars="227"/>
        <w:jc w:val="right"/>
        <w:rPr>
          <w:rFonts w:hint="eastAsia" w:ascii="宋体" w:hAnsi="宋体" w:eastAsia="宋体" w:cs="宋体"/>
          <w:sz w:val="24"/>
          <w:szCs w:val="24"/>
          <w:u w:val="single"/>
        </w:rPr>
      </w:pPr>
      <w:r>
        <w:rPr>
          <w:rFonts w:hint="eastAsia" w:ascii="宋体" w:hAnsi="宋体" w:eastAsia="宋体" w:cs="宋体"/>
          <w:sz w:val="24"/>
          <w:szCs w:val="24"/>
          <w:lang w:val="en-US" w:eastAsia="zh-CN"/>
        </w:rPr>
        <w:t>xxxx有限公司</w:t>
      </w:r>
      <w:r>
        <w:rPr>
          <w:rFonts w:hint="eastAsia" w:ascii="宋体" w:hAnsi="宋体" w:eastAsia="宋体" w:cs="宋体"/>
          <w:sz w:val="24"/>
          <w:szCs w:val="24"/>
        </w:rPr>
        <w:t>(单位公章)</w:t>
      </w:r>
      <w:r>
        <w:rPr>
          <w:rFonts w:hint="eastAsia" w:ascii="宋体" w:hAnsi="宋体" w:eastAsia="宋体" w:cs="宋体"/>
          <w:sz w:val="24"/>
          <w:szCs w:val="24"/>
          <w:u w:val="single"/>
        </w:rPr>
        <w:t xml:space="preserve">               </w:t>
      </w:r>
    </w:p>
    <w:p w14:paraId="3D7DE54A">
      <w:pPr>
        <w:jc w:val="righ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sz w:val="24"/>
          <w:szCs w:val="24"/>
          <w:lang w:val="en-US" w:eastAsia="zh-CN"/>
        </w:rPr>
        <w:t>07</w:t>
      </w:r>
      <w:r>
        <w:rPr>
          <w:rFonts w:hint="eastAsia" w:ascii="宋体" w:hAnsi="宋体" w:eastAsia="宋体" w:cs="宋体"/>
          <w:sz w:val="24"/>
          <w:szCs w:val="24"/>
        </w:rPr>
        <w:t>月</w:t>
      </w:r>
      <w:r>
        <w:rPr>
          <w:rFonts w:hint="eastAsia" w:ascii="宋体" w:hAnsi="宋体" w:eastAsia="宋体" w:cs="宋体"/>
          <w:sz w:val="24"/>
          <w:szCs w:val="24"/>
          <w:lang w:val="en-US" w:eastAsia="zh-CN"/>
        </w:rPr>
        <w:t>03</w:t>
      </w:r>
      <w:r>
        <w:rPr>
          <w:rFonts w:hint="eastAsia" w:ascii="宋体" w:hAnsi="宋体" w:eastAsia="宋体" w:cs="宋体"/>
          <w:sz w:val="24"/>
          <w:szCs w:val="24"/>
        </w:rPr>
        <w:t>日</w:t>
      </w:r>
    </w:p>
    <w:p w14:paraId="44F61715">
      <w:pPr>
        <w:jc w:val="right"/>
        <w:rPr>
          <w:rFonts w:hint="eastAsia" w:ascii="宋体" w:hAnsi="宋体" w:eastAsia="宋体" w:cs="宋体"/>
          <w:szCs w:val="21"/>
        </w:rPr>
      </w:pPr>
    </w:p>
    <w:p w14:paraId="4D85811B">
      <w:pPr>
        <w:jc w:val="right"/>
        <w:rPr>
          <w:rFonts w:hint="eastAsia" w:ascii="宋体" w:hAnsi="宋体" w:eastAsia="宋体" w:cs="宋体"/>
          <w:szCs w:val="21"/>
        </w:rPr>
      </w:pPr>
    </w:p>
    <w:p w14:paraId="4D77E628">
      <w:pPr>
        <w:jc w:val="right"/>
        <w:rPr>
          <w:rFonts w:hint="eastAsia" w:ascii="宋体" w:hAnsi="宋体" w:eastAsia="宋体" w:cs="宋体"/>
          <w:szCs w:val="21"/>
          <w:lang w:val="en-US" w:eastAsia="zh-CN"/>
        </w:rPr>
      </w:pPr>
    </w:p>
    <w:p w14:paraId="78550E12">
      <w:pPr>
        <w:jc w:val="center"/>
        <w:rPr>
          <w:rFonts w:hint="eastAsia" w:ascii="宋体" w:hAnsi="宋体" w:eastAsia="宋体" w:cs="宋体"/>
          <w:b/>
          <w:bCs/>
          <w:sz w:val="44"/>
          <w:szCs w:val="44"/>
        </w:rPr>
      </w:pPr>
    </w:p>
    <w:p w14:paraId="6C2077AD">
      <w:pPr>
        <w:jc w:val="center"/>
        <w:rPr>
          <w:rFonts w:hint="eastAsia" w:ascii="宋体" w:hAnsi="宋体" w:eastAsia="宋体" w:cs="宋体"/>
          <w:b/>
          <w:bCs/>
          <w:sz w:val="44"/>
          <w:szCs w:val="44"/>
        </w:rPr>
      </w:pPr>
    </w:p>
    <w:p w14:paraId="068FE9C8">
      <w:pPr>
        <w:jc w:val="center"/>
        <w:rPr>
          <w:rFonts w:hint="eastAsia" w:ascii="宋体" w:hAnsi="宋体" w:eastAsia="宋体" w:cs="宋体"/>
          <w:b/>
          <w:bCs/>
          <w:sz w:val="44"/>
          <w:szCs w:val="44"/>
        </w:rPr>
      </w:pPr>
    </w:p>
    <w:p w14:paraId="05F3A2C3">
      <w:pPr>
        <w:jc w:val="center"/>
        <w:rPr>
          <w:rFonts w:hint="eastAsia" w:ascii="宋体" w:hAnsi="宋体" w:eastAsia="宋体" w:cs="宋体"/>
          <w:b/>
          <w:bCs/>
          <w:sz w:val="44"/>
          <w:szCs w:val="44"/>
        </w:rPr>
      </w:pPr>
    </w:p>
    <w:p w14:paraId="4B9A3D16">
      <w:pPr>
        <w:jc w:val="center"/>
        <w:rPr>
          <w:rFonts w:hint="eastAsia" w:ascii="宋体" w:hAnsi="宋体" w:eastAsia="宋体" w:cs="宋体"/>
          <w:b/>
          <w:bCs/>
          <w:sz w:val="44"/>
          <w:szCs w:val="44"/>
        </w:rPr>
      </w:pPr>
    </w:p>
    <w:p w14:paraId="2E44E9D7">
      <w:pPr>
        <w:jc w:val="center"/>
        <w:rPr>
          <w:rFonts w:hint="eastAsia" w:ascii="宋体" w:hAnsi="宋体" w:eastAsia="宋体" w:cs="宋体"/>
          <w:b/>
          <w:bCs/>
          <w:sz w:val="44"/>
          <w:szCs w:val="44"/>
        </w:rPr>
      </w:pPr>
    </w:p>
    <w:p w14:paraId="5421D2B8">
      <w:pPr>
        <w:jc w:val="center"/>
        <w:rPr>
          <w:rFonts w:hint="eastAsia" w:ascii="宋体" w:hAnsi="宋体" w:eastAsia="宋体" w:cs="宋体"/>
          <w:b/>
          <w:bCs/>
          <w:sz w:val="44"/>
          <w:szCs w:val="44"/>
        </w:rPr>
      </w:pPr>
    </w:p>
    <w:p w14:paraId="7AD72A25">
      <w:pPr>
        <w:jc w:val="center"/>
        <w:rPr>
          <w:rFonts w:hint="eastAsia" w:ascii="宋体" w:hAnsi="宋体" w:eastAsia="宋体" w:cs="宋体"/>
          <w:b/>
          <w:bCs/>
          <w:sz w:val="44"/>
          <w:szCs w:val="44"/>
        </w:rPr>
      </w:pPr>
    </w:p>
    <w:p w14:paraId="0C8A05C5">
      <w:pPr>
        <w:jc w:val="center"/>
        <w:rPr>
          <w:rFonts w:hint="eastAsia" w:ascii="宋体" w:hAnsi="宋体" w:eastAsia="宋体" w:cs="宋体"/>
          <w:b/>
          <w:bCs/>
          <w:sz w:val="44"/>
          <w:szCs w:val="44"/>
        </w:rPr>
      </w:pPr>
    </w:p>
    <w:p w14:paraId="5636093F">
      <w:pPr>
        <w:jc w:val="both"/>
        <w:rPr>
          <w:rFonts w:hint="eastAsia" w:ascii="宋体" w:hAnsi="宋体" w:eastAsia="宋体" w:cs="宋体"/>
          <w:b/>
          <w:bCs/>
          <w:sz w:val="44"/>
          <w:szCs w:val="44"/>
        </w:rPr>
      </w:pPr>
    </w:p>
    <w:p w14:paraId="2B2EFFED">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营业执照</w:t>
      </w:r>
    </w:p>
    <w:p w14:paraId="165B8277">
      <w:pPr>
        <w:jc w:val="center"/>
        <w:rPr>
          <w:rFonts w:hint="eastAsia" w:ascii="宋体" w:hAnsi="宋体" w:eastAsia="宋体" w:cs="宋体"/>
          <w:b/>
          <w:bCs/>
          <w:sz w:val="44"/>
          <w:szCs w:val="44"/>
          <w:lang w:val="en-US" w:eastAsia="zh-CN"/>
        </w:rPr>
      </w:pPr>
    </w:p>
    <w:p w14:paraId="6B144D2C">
      <w:pPr>
        <w:jc w:val="center"/>
        <w:rPr>
          <w:rFonts w:hint="eastAsia" w:ascii="宋体" w:hAnsi="宋体" w:eastAsia="宋体" w:cs="宋体"/>
          <w:b/>
          <w:bCs/>
          <w:sz w:val="44"/>
          <w:szCs w:val="44"/>
          <w:lang w:val="en-US" w:eastAsia="zh-CN"/>
        </w:rPr>
      </w:pPr>
    </w:p>
    <w:p w14:paraId="29A03498">
      <w:pPr>
        <w:jc w:val="center"/>
        <w:rPr>
          <w:rFonts w:hint="eastAsia" w:ascii="宋体" w:hAnsi="宋体" w:eastAsia="宋体" w:cs="宋体"/>
          <w:b/>
          <w:bCs/>
          <w:sz w:val="44"/>
          <w:szCs w:val="44"/>
          <w:lang w:val="en-US" w:eastAsia="zh-CN"/>
        </w:rPr>
      </w:pPr>
    </w:p>
    <w:p w14:paraId="290CEC9C">
      <w:pPr>
        <w:jc w:val="center"/>
        <w:rPr>
          <w:rFonts w:hint="eastAsia" w:ascii="宋体" w:hAnsi="宋体" w:eastAsia="宋体" w:cs="宋体"/>
          <w:b/>
          <w:bCs/>
          <w:sz w:val="44"/>
          <w:szCs w:val="44"/>
          <w:lang w:val="en-US" w:eastAsia="zh-CN"/>
        </w:rPr>
      </w:pPr>
    </w:p>
    <w:p w14:paraId="223364CD">
      <w:pPr>
        <w:jc w:val="center"/>
        <w:rPr>
          <w:rFonts w:hint="eastAsia" w:ascii="宋体" w:hAnsi="宋体" w:eastAsia="宋体" w:cs="宋体"/>
          <w:b/>
          <w:bCs/>
          <w:sz w:val="44"/>
          <w:szCs w:val="44"/>
          <w:lang w:val="en-US" w:eastAsia="zh-CN"/>
        </w:rPr>
      </w:pPr>
    </w:p>
    <w:p w14:paraId="0F38773E">
      <w:pPr>
        <w:jc w:val="center"/>
        <w:rPr>
          <w:rFonts w:hint="eastAsia" w:ascii="宋体" w:hAnsi="宋体" w:eastAsia="宋体" w:cs="宋体"/>
          <w:b/>
          <w:bCs/>
          <w:sz w:val="44"/>
          <w:szCs w:val="44"/>
          <w:lang w:val="en-US" w:eastAsia="zh-CN"/>
        </w:rPr>
      </w:pPr>
    </w:p>
    <w:p w14:paraId="4EF7F3A1">
      <w:pPr>
        <w:jc w:val="center"/>
        <w:rPr>
          <w:rFonts w:hint="eastAsia" w:ascii="宋体" w:hAnsi="宋体" w:eastAsia="宋体" w:cs="宋体"/>
          <w:b/>
          <w:bCs/>
          <w:sz w:val="44"/>
          <w:szCs w:val="44"/>
          <w:lang w:val="en-US" w:eastAsia="zh-CN"/>
        </w:rPr>
      </w:pPr>
    </w:p>
    <w:p w14:paraId="671091D1">
      <w:pPr>
        <w:jc w:val="center"/>
        <w:rPr>
          <w:rFonts w:hint="eastAsia" w:ascii="宋体" w:hAnsi="宋体" w:eastAsia="宋体" w:cs="宋体"/>
          <w:b/>
          <w:bCs/>
          <w:sz w:val="44"/>
          <w:szCs w:val="44"/>
          <w:lang w:val="en-US" w:eastAsia="zh-CN"/>
        </w:rPr>
      </w:pPr>
    </w:p>
    <w:p w14:paraId="11D200D3">
      <w:pPr>
        <w:jc w:val="center"/>
        <w:rPr>
          <w:rFonts w:hint="eastAsia" w:ascii="宋体" w:hAnsi="宋体" w:eastAsia="宋体" w:cs="宋体"/>
          <w:b/>
          <w:bCs/>
          <w:sz w:val="44"/>
          <w:szCs w:val="44"/>
          <w:lang w:val="en-US" w:eastAsia="zh-CN"/>
        </w:rPr>
      </w:pPr>
    </w:p>
    <w:p w14:paraId="4894027A">
      <w:pPr>
        <w:jc w:val="center"/>
        <w:rPr>
          <w:rFonts w:hint="eastAsia" w:ascii="宋体" w:hAnsi="宋体" w:eastAsia="宋体" w:cs="宋体"/>
          <w:b/>
          <w:bCs/>
          <w:sz w:val="44"/>
          <w:szCs w:val="44"/>
          <w:lang w:val="en-US" w:eastAsia="zh-CN"/>
        </w:rPr>
      </w:pPr>
    </w:p>
    <w:p w14:paraId="029050ED">
      <w:pPr>
        <w:jc w:val="center"/>
        <w:rPr>
          <w:rFonts w:hint="eastAsia" w:ascii="宋体" w:hAnsi="宋体" w:eastAsia="宋体" w:cs="宋体"/>
          <w:b/>
          <w:bCs/>
          <w:sz w:val="44"/>
          <w:szCs w:val="44"/>
          <w:lang w:val="en-US" w:eastAsia="zh-CN"/>
        </w:rPr>
      </w:pPr>
    </w:p>
    <w:p w14:paraId="53FBAE82">
      <w:pPr>
        <w:jc w:val="center"/>
        <w:rPr>
          <w:rFonts w:hint="eastAsia" w:ascii="宋体" w:hAnsi="宋体" w:eastAsia="宋体" w:cs="宋体"/>
          <w:b/>
          <w:bCs/>
          <w:sz w:val="44"/>
          <w:szCs w:val="44"/>
          <w:lang w:val="en-US" w:eastAsia="zh-CN"/>
        </w:rPr>
      </w:pPr>
    </w:p>
    <w:p w14:paraId="53D14240">
      <w:pPr>
        <w:jc w:val="center"/>
        <w:rPr>
          <w:rFonts w:hint="eastAsia" w:ascii="宋体" w:hAnsi="宋体" w:eastAsia="宋体" w:cs="宋体"/>
          <w:b/>
          <w:bCs/>
          <w:sz w:val="44"/>
          <w:szCs w:val="44"/>
          <w:lang w:val="en-US" w:eastAsia="zh-CN"/>
        </w:rPr>
      </w:pPr>
    </w:p>
    <w:p w14:paraId="1A6FA0C1">
      <w:pPr>
        <w:jc w:val="center"/>
        <w:rPr>
          <w:rFonts w:hint="eastAsia" w:ascii="宋体" w:hAnsi="宋体" w:eastAsia="宋体" w:cs="宋体"/>
          <w:b/>
          <w:bCs/>
          <w:sz w:val="44"/>
          <w:szCs w:val="44"/>
          <w:lang w:val="en-US" w:eastAsia="zh-CN"/>
        </w:rPr>
      </w:pPr>
    </w:p>
    <w:p w14:paraId="7CCEF930">
      <w:pPr>
        <w:jc w:val="center"/>
        <w:rPr>
          <w:rFonts w:hint="eastAsia" w:ascii="宋体" w:hAnsi="宋体" w:eastAsia="宋体" w:cs="宋体"/>
          <w:b/>
          <w:bCs/>
          <w:sz w:val="44"/>
          <w:szCs w:val="44"/>
          <w:lang w:val="en-US" w:eastAsia="zh-CN"/>
        </w:rPr>
      </w:pPr>
    </w:p>
    <w:p w14:paraId="49037A8D">
      <w:pPr>
        <w:jc w:val="center"/>
        <w:rPr>
          <w:rFonts w:hint="eastAsia" w:ascii="宋体" w:hAnsi="宋体" w:eastAsia="宋体" w:cs="宋体"/>
          <w:b/>
          <w:bCs/>
          <w:sz w:val="44"/>
          <w:szCs w:val="44"/>
          <w:lang w:val="en-US" w:eastAsia="zh-CN"/>
        </w:rPr>
      </w:pPr>
    </w:p>
    <w:p w14:paraId="6422D39A">
      <w:pPr>
        <w:jc w:val="center"/>
        <w:rPr>
          <w:rFonts w:hint="eastAsia" w:ascii="宋体" w:hAnsi="宋体" w:eastAsia="宋体" w:cs="宋体"/>
          <w:b/>
          <w:bCs/>
          <w:sz w:val="44"/>
          <w:szCs w:val="44"/>
          <w:lang w:val="en-US" w:eastAsia="zh-CN"/>
        </w:rPr>
      </w:pPr>
    </w:p>
    <w:p w14:paraId="37AA8453">
      <w:pPr>
        <w:jc w:val="center"/>
        <w:rPr>
          <w:rFonts w:hint="eastAsia" w:ascii="宋体" w:hAnsi="宋体" w:eastAsia="宋体" w:cs="宋体"/>
          <w:b/>
          <w:bCs/>
          <w:sz w:val="44"/>
          <w:szCs w:val="44"/>
          <w:lang w:val="en-US" w:eastAsia="zh-CN"/>
        </w:rPr>
      </w:pPr>
    </w:p>
    <w:p w14:paraId="4CD7D89F">
      <w:pPr>
        <w:jc w:val="center"/>
        <w:rPr>
          <w:rFonts w:hint="eastAsia" w:ascii="宋体" w:hAnsi="宋体" w:eastAsia="宋体" w:cs="宋体"/>
          <w:b/>
          <w:bCs/>
          <w:sz w:val="44"/>
          <w:szCs w:val="44"/>
          <w:lang w:val="en-US" w:eastAsia="zh-CN"/>
        </w:rPr>
      </w:pPr>
    </w:p>
    <w:p w14:paraId="64A0D837">
      <w:pPr>
        <w:jc w:val="center"/>
        <w:rPr>
          <w:rFonts w:hint="eastAsia" w:ascii="宋体" w:hAnsi="宋体" w:eastAsia="宋体" w:cs="宋体"/>
          <w:b/>
          <w:bCs/>
          <w:sz w:val="44"/>
          <w:szCs w:val="44"/>
          <w:lang w:val="en-US" w:eastAsia="zh-CN"/>
        </w:rPr>
      </w:pPr>
    </w:p>
    <w:p w14:paraId="2C07DADA">
      <w:pPr>
        <w:jc w:val="center"/>
        <w:rPr>
          <w:rFonts w:hint="eastAsia" w:ascii="宋体" w:hAnsi="宋体" w:eastAsia="宋体" w:cs="宋体"/>
          <w:b/>
          <w:bCs/>
          <w:sz w:val="44"/>
          <w:szCs w:val="44"/>
          <w:lang w:val="en-US" w:eastAsia="zh-CN"/>
        </w:rPr>
      </w:pPr>
    </w:p>
    <w:p w14:paraId="25B5D066">
      <w:pPr>
        <w:jc w:val="both"/>
        <w:rPr>
          <w:rFonts w:hint="eastAsia" w:ascii="宋体" w:hAnsi="宋体" w:eastAsia="宋体" w:cs="宋体"/>
          <w:b/>
          <w:bCs/>
          <w:sz w:val="44"/>
          <w:szCs w:val="44"/>
        </w:rPr>
      </w:pPr>
    </w:p>
    <w:p w14:paraId="14506AF3">
      <w:pPr>
        <w:spacing w:line="360" w:lineRule="auto"/>
        <w:jc w:val="center"/>
        <w:rPr>
          <w:rFonts w:hint="eastAsia" w:ascii="宋体" w:hAnsi="宋体" w:eastAsia="宋体" w:cs="宋体"/>
          <w:b/>
          <w:bCs/>
          <w:color w:val="auto"/>
          <w:sz w:val="32"/>
          <w:szCs w:val="32"/>
        </w:rPr>
      </w:pPr>
    </w:p>
    <w:p w14:paraId="6FF6395B">
      <w:pPr>
        <w:spacing w:line="360" w:lineRule="auto"/>
        <w:jc w:val="center"/>
        <w:rPr>
          <w:rFonts w:hint="eastAsia" w:ascii="宋体" w:hAnsi="宋体" w:cs="宋体"/>
          <w:b/>
          <w:bCs/>
          <w:color w:val="auto"/>
          <w:sz w:val="32"/>
          <w:szCs w:val="32"/>
        </w:rPr>
      </w:pPr>
      <w:r>
        <w:rPr>
          <w:rFonts w:hint="eastAsia" w:ascii="宋体" w:hAnsi="宋体" w:cs="宋体"/>
          <w:b/>
          <w:bCs/>
          <w:color w:val="auto"/>
          <w:sz w:val="32"/>
          <w:szCs w:val="32"/>
        </w:rPr>
        <w:t>仁化县人民法院董塘法庭智慧法庭租赁项目采购需求</w:t>
      </w:r>
    </w:p>
    <w:p w14:paraId="3D62E21D">
      <w:pPr>
        <w:pStyle w:val="2"/>
        <w:rPr>
          <w:rFonts w:hint="eastAsia"/>
        </w:rPr>
      </w:pPr>
    </w:p>
    <w:p w14:paraId="2B1773DA">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一、采购项目需求一览表</w:t>
      </w:r>
    </w:p>
    <w:tbl>
      <w:tblPr>
        <w:tblStyle w:val="11"/>
        <w:tblW w:w="4998" w:type="pct"/>
        <w:jc w:val="center"/>
        <w:tblLayout w:type="autofit"/>
        <w:tblCellMar>
          <w:top w:w="0" w:type="dxa"/>
          <w:left w:w="0" w:type="dxa"/>
          <w:bottom w:w="0" w:type="dxa"/>
          <w:right w:w="0" w:type="dxa"/>
        </w:tblCellMar>
      </w:tblPr>
      <w:tblGrid>
        <w:gridCol w:w="991"/>
        <w:gridCol w:w="3065"/>
        <w:gridCol w:w="1268"/>
        <w:gridCol w:w="2861"/>
        <w:gridCol w:w="2307"/>
      </w:tblGrid>
      <w:tr w14:paraId="0FF6464C">
        <w:tblPrEx>
          <w:tblCellMar>
            <w:top w:w="0" w:type="dxa"/>
            <w:left w:w="0" w:type="dxa"/>
            <w:bottom w:w="0" w:type="dxa"/>
            <w:right w:w="0" w:type="dxa"/>
          </w:tblCellMar>
        </w:tblPrEx>
        <w:trPr>
          <w:trHeight w:val="788" w:hRule="atLeast"/>
          <w:jc w:val="center"/>
        </w:trPr>
        <w:tc>
          <w:tcPr>
            <w:tcW w:w="47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20CFA68">
            <w:pPr>
              <w:widowControl/>
              <w:spacing w:line="360" w:lineRule="auto"/>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序号</w:t>
            </w:r>
          </w:p>
        </w:tc>
        <w:tc>
          <w:tcPr>
            <w:tcW w:w="146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ACB0256">
            <w:pPr>
              <w:widowControl/>
              <w:spacing w:line="360" w:lineRule="auto"/>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采购内容</w:t>
            </w: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C646159">
            <w:pPr>
              <w:widowControl/>
              <w:spacing w:line="360" w:lineRule="auto"/>
              <w:jc w:val="center"/>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136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B631441">
            <w:pPr>
              <w:widowControl/>
              <w:spacing w:line="360" w:lineRule="auto"/>
              <w:jc w:val="center"/>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服务期限</w:t>
            </w:r>
          </w:p>
        </w:tc>
        <w:tc>
          <w:tcPr>
            <w:tcW w:w="10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80FB40F">
            <w:pPr>
              <w:widowControl/>
              <w:spacing w:line="360" w:lineRule="auto"/>
              <w:jc w:val="center"/>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预算金额</w:t>
            </w:r>
          </w:p>
        </w:tc>
      </w:tr>
      <w:tr w14:paraId="668A1B17">
        <w:tblPrEx>
          <w:tblCellMar>
            <w:top w:w="0" w:type="dxa"/>
            <w:left w:w="0" w:type="dxa"/>
            <w:bottom w:w="0" w:type="dxa"/>
            <w:right w:w="0" w:type="dxa"/>
          </w:tblCellMar>
        </w:tblPrEx>
        <w:trPr>
          <w:trHeight w:val="1380" w:hRule="atLeast"/>
          <w:jc w:val="center"/>
        </w:trPr>
        <w:tc>
          <w:tcPr>
            <w:tcW w:w="47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DC6BA6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46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3C6626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仁化县人民法院董塘法庭智慧法庭租赁项目</w:t>
            </w: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555F365">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1项</w:t>
            </w:r>
          </w:p>
        </w:tc>
        <w:tc>
          <w:tcPr>
            <w:tcW w:w="136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EB3E73C">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合同期限3年。</w:t>
            </w:r>
          </w:p>
        </w:tc>
        <w:tc>
          <w:tcPr>
            <w:tcW w:w="10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DD2C247">
            <w:pPr>
              <w:pStyle w:val="16"/>
              <w:spacing w:line="360" w:lineRule="auto"/>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¥150,000.00</w:t>
            </w:r>
          </w:p>
        </w:tc>
      </w:tr>
    </w:tbl>
    <w:p w14:paraId="7A74D59F">
      <w:pPr>
        <w:numPr>
          <w:ilvl w:val="0"/>
          <w:numId w:val="1"/>
        </w:num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报价要求</w:t>
      </w:r>
    </w:p>
    <w:p w14:paraId="1AD67578">
      <w:pPr>
        <w:pStyle w:val="16"/>
        <w:numPr>
          <w:ilvl w:val="0"/>
          <w:numId w:val="2"/>
        </w:num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供应商报价不得高于文件规定的预算金额，否则将导致响应无效处理。</w:t>
      </w:r>
    </w:p>
    <w:p w14:paraId="01F9DE67">
      <w:pPr>
        <w:pStyle w:val="16"/>
        <w:numPr>
          <w:ilvl w:val="0"/>
          <w:numId w:val="2"/>
        </w:num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报价应为人民币含税全包价，包括但不限于服务过程中的设备费用、税费、软件开发调试费用等全部费用。</w:t>
      </w:r>
    </w:p>
    <w:p w14:paraId="27A51647">
      <w:pPr>
        <w:pStyle w:val="16"/>
        <w:numPr>
          <w:ilvl w:val="0"/>
          <w:numId w:val="2"/>
        </w:num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供应商必须自行考虑在本项目服务期限内的一切可能产生的费用，在项目的服务过程中，采购人除了支付合同规定的款项外，一切合同规定外的费用将拒绝支付。</w:t>
      </w:r>
    </w:p>
    <w:p w14:paraId="33D170F8">
      <w:pPr>
        <w:numPr>
          <w:ilvl w:val="0"/>
          <w:numId w:val="1"/>
        </w:numPr>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智慧法庭租赁服务所需设施设备</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
        <w:gridCol w:w="2184"/>
        <w:gridCol w:w="5120"/>
        <w:gridCol w:w="406"/>
        <w:gridCol w:w="406"/>
      </w:tblGrid>
      <w:tr w14:paraId="5ACA9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48DE97A4">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序号</w:t>
            </w:r>
          </w:p>
        </w:tc>
        <w:tc>
          <w:tcPr>
            <w:tcW w:w="2184" w:type="dxa"/>
            <w:noWrap w:val="0"/>
            <w:vAlign w:val="center"/>
          </w:tcPr>
          <w:p w14:paraId="50F815DE">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产品名称</w:t>
            </w:r>
          </w:p>
        </w:tc>
        <w:tc>
          <w:tcPr>
            <w:tcW w:w="5120" w:type="dxa"/>
            <w:noWrap w:val="0"/>
            <w:vAlign w:val="center"/>
          </w:tcPr>
          <w:p w14:paraId="1CD88EE7">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产品技术参数</w:t>
            </w:r>
          </w:p>
        </w:tc>
        <w:tc>
          <w:tcPr>
            <w:tcW w:w="406" w:type="dxa"/>
            <w:noWrap w:val="0"/>
            <w:vAlign w:val="center"/>
          </w:tcPr>
          <w:p w14:paraId="72D5A41B">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数量</w:t>
            </w:r>
          </w:p>
        </w:tc>
        <w:tc>
          <w:tcPr>
            <w:tcW w:w="406" w:type="dxa"/>
            <w:noWrap w:val="0"/>
            <w:vAlign w:val="center"/>
          </w:tcPr>
          <w:p w14:paraId="42C5861F">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单位</w:t>
            </w:r>
          </w:p>
        </w:tc>
      </w:tr>
      <w:tr w14:paraId="28218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0E57848A">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一</w:t>
            </w:r>
          </w:p>
        </w:tc>
        <w:tc>
          <w:tcPr>
            <w:tcW w:w="2184" w:type="dxa"/>
            <w:noWrap w:val="0"/>
            <w:vAlign w:val="center"/>
          </w:tcPr>
          <w:p w14:paraId="55993786">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信号采集处理系统</w:t>
            </w:r>
          </w:p>
        </w:tc>
        <w:tc>
          <w:tcPr>
            <w:tcW w:w="5120" w:type="dxa"/>
            <w:noWrap w:val="0"/>
            <w:vAlign w:val="center"/>
          </w:tcPr>
          <w:p w14:paraId="574BDC0C">
            <w:pPr>
              <w:spacing w:line="360" w:lineRule="auto"/>
              <w:jc w:val="center"/>
              <w:rPr>
                <w:rFonts w:hint="eastAsia" w:ascii="宋体" w:hAnsi="宋体" w:eastAsia="宋体" w:cs="宋体"/>
                <w:bCs/>
                <w:color w:val="auto"/>
                <w:sz w:val="24"/>
                <w:szCs w:val="24"/>
              </w:rPr>
            </w:pPr>
          </w:p>
        </w:tc>
        <w:tc>
          <w:tcPr>
            <w:tcW w:w="406" w:type="dxa"/>
            <w:noWrap w:val="0"/>
            <w:vAlign w:val="center"/>
          </w:tcPr>
          <w:p w14:paraId="5CDE87C6">
            <w:pPr>
              <w:spacing w:line="360" w:lineRule="auto"/>
              <w:jc w:val="center"/>
              <w:rPr>
                <w:rFonts w:hint="eastAsia" w:ascii="宋体" w:hAnsi="宋体" w:eastAsia="宋体" w:cs="宋体"/>
                <w:bCs/>
                <w:color w:val="auto"/>
                <w:sz w:val="24"/>
                <w:szCs w:val="24"/>
              </w:rPr>
            </w:pPr>
          </w:p>
        </w:tc>
        <w:tc>
          <w:tcPr>
            <w:tcW w:w="406" w:type="dxa"/>
            <w:noWrap w:val="0"/>
            <w:vAlign w:val="center"/>
          </w:tcPr>
          <w:p w14:paraId="42ACD506">
            <w:pPr>
              <w:spacing w:line="360" w:lineRule="auto"/>
              <w:jc w:val="center"/>
              <w:rPr>
                <w:rFonts w:hint="eastAsia" w:ascii="宋体" w:hAnsi="宋体" w:eastAsia="宋体" w:cs="宋体"/>
                <w:bCs/>
                <w:color w:val="auto"/>
                <w:sz w:val="24"/>
                <w:szCs w:val="24"/>
              </w:rPr>
            </w:pPr>
          </w:p>
        </w:tc>
      </w:tr>
      <w:tr w14:paraId="7EE6D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0A85A5DC">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1</w:t>
            </w:r>
          </w:p>
        </w:tc>
        <w:tc>
          <w:tcPr>
            <w:tcW w:w="2184" w:type="dxa"/>
            <w:noWrap w:val="0"/>
            <w:vAlign w:val="center"/>
          </w:tcPr>
          <w:p w14:paraId="4093A01D">
            <w:pPr>
              <w:widowControl/>
              <w:jc w:val="center"/>
              <w:textAlignment w:val="center"/>
              <w:rPr>
                <w:rFonts w:hint="eastAsia" w:ascii="宋体" w:hAnsi="宋体" w:eastAsia="宋体" w:cs="宋体"/>
                <w:bCs/>
                <w:color w:val="auto"/>
                <w:sz w:val="24"/>
                <w:szCs w:val="24"/>
              </w:rPr>
            </w:pPr>
            <w:r>
              <w:rPr>
                <w:rFonts w:hint="eastAsia" w:ascii="宋体" w:hAnsi="宋体" w:eastAsia="宋体" w:cs="宋体"/>
                <w:bCs/>
                <w:color w:val="auto"/>
                <w:kern w:val="0"/>
                <w:sz w:val="24"/>
                <w:szCs w:val="24"/>
                <w:lang w:bidi="ar"/>
              </w:rPr>
              <w:t>高清庭审主机（含嵌入式全高清庭审集控系统V3.0）</w:t>
            </w:r>
          </w:p>
        </w:tc>
        <w:tc>
          <w:tcPr>
            <w:tcW w:w="5120" w:type="dxa"/>
            <w:noWrap w:val="0"/>
            <w:vAlign w:val="center"/>
          </w:tcPr>
          <w:p w14:paraId="400BC1BF">
            <w:pPr>
              <w:widowControl/>
              <w:jc w:val="left"/>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安全稳定：采用工业级系统架构，基于LINUX系统开发，无病毒侵扰</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数据接口：2路USB Type-A型，1路USB Type-C型</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网络摄像机：本地网络摄像机接入12路，网络转发4路</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视频编解码：最高可支持4K60视频编解码；支持最大4路1080P60编码，同时最大4路1080P@60解码；或者8路1080P@30编码和8路1080P@30解码；</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音视频协议：音频支持G.711、G.722、G722.1、G722.1C、AAC，支持解码音频码流</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视频支持H.264HP、MP、BP，H265MP</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显示终端：内置视频分割功能，可实现单分屏、双分屏、三分屏、四分屏、五分屏、六分屏、七分屏、八分屏、九分屏、十分屏、十三分屏、十六分屏等单画面/画中画/画外画合成、字幕叠加、终端名叠加、显示台标</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编解码率：最大16路1080P编解码，每路512Kbps~16Mbps</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音频输入：共10路音频输入，其中8路MIC IN（同时支持48V幻像供电MIC输入或line in线性输入）、2路LINE IN（支持L+R左右声道输入）</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音频输出：共3路音频输出，2路line out音频输出、1路3.5mm音频输出，支持音量调节，音频支持同步和混音两种方式</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视频输入：4路HDMI输入接口，4路3G-SDI输入；最高分辨率4K（3840*2160）输入；</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视频输出：2路HDMI输出接口；最高分辨率4K（3840*2160）输出；支持矩阵切换输出，支持输出直播/点播回放画面</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音频处理：支持自动回声消除(AEC)、自动增益控制(AGC)、自动噪声消除/抑制(ANC/ANS)、自动反馈消除(AFC)、混音矩阵(AM)、丢包补偿(PLC)</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视频处理：支持视频分辨率适配、切换、分配、画面分割、支持输入画面和输出画面做字幕叠加显示（相当于打标签，区分画面显示不同内容）、终端名叠加、显示台标、图像参数调节；字幕、终端名叠加支持任意位置调整；台标支持左上、右上、左下、右下位置调整，支持透明度显示调节；</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通讯协议：SIP、BFCP双流、H.323、H.239、E.164、H.245、NAT、H.225、Q.931、RTSP、RTMP、TCP/IP、HTTP、FTP、TCP、UDP、NTP、RTP、RTCP、Telnet、TLS；</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网络接口：2路RJ45接口，10M100M/1000M以太网接口，支持网络控制API接口，支持第三方设备通过API接口控制本机；支持本机通过网口控制第三方设备；</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中央控制：开关系统、调节输出音量、切换信号源、摄像机控制、录播控制、远程呼叫、环境控制等；</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环控接口：2路RS-485接口、2路RS-232接口、2路I/O、2路红外IR；支持网络控制协议；</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支持摄像机/时序电源等外设控制协议，支持无限数量摄像机的独立控制;支持对每个摄像机设置不受限制预制位数量（预置位数量取决于摄像机可被调取数量，通常单台会议云台摄像机为64个预置位~255个预置位之间），方便在会议录制过程中快速调取；</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推送码流:支持同时推流到不少于8个不同的直播平台，支持自动上传录播文件到第三方视频资源管理平台</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直播/点播:最大支持10路组播、直播和点播，支持直播预览和点播回放，支持录播开启、暂停、停止操作；支持开启直播、停止直播操作；支持4K文件录播/点播/直播</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录播功能：支持作为录播分发端和客户端，最大6路本地录制码流，录播文件格式为MP4，支持U盘自动拷贝，U盘系统强制升级并恢复初始化配置，支持录制文件内容管理（下载/导出/编辑/删除），支持视频文件自动和手动修复功能。录制过程中，由断电导致损坏的视频文件可进行修复</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录制和存储：内置自动录播及存储功能，支持RTMP流网络直播推送功能，直播流可任意选定接入本机的音视频流；支持与第三方FTP平台对接，扩展不受空间限制的硬盘存储空间，上传录制课件，上传时间可自定义，可设置最大录制时长，分片录制时长；</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文件点播：录制视频可在WEB上多画面点播播放，也可通过HDMI输出到显示器解码播放；同时支持获取相通网络内同类设备视频文件，进行点播观看；</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内置硬盘：标配2TB的3.5寸监控级硬盘</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维护功能：支持Web界面管理，提供快速配置设备端口，支持Web端口修改密码、修改IP地址、恢复出厂设置、软件升级、指示灯、红外学习、日志管理、串口调试、Telnet远程调试、远程运维管理</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安装方式：1U电信标准机柜安装，建议与外围设备就近安装减少布线工作量</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设备尺寸：宽*高*深482.8mm*45mm*317.5mm</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输入电压电流：两路电源输入：AC100~240V/50~60Hz （交流），DC12V/3A（直流）</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设备功耗：典型功耗≤36W</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工作温度：0~45℃ 工作</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湿度海拔：10％～90％，海拔小于等于5000米</w:t>
            </w:r>
          </w:p>
        </w:tc>
        <w:tc>
          <w:tcPr>
            <w:tcW w:w="406" w:type="dxa"/>
            <w:noWrap w:val="0"/>
            <w:vAlign w:val="center"/>
          </w:tcPr>
          <w:p w14:paraId="499B28F5">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1</w:t>
            </w:r>
          </w:p>
        </w:tc>
        <w:tc>
          <w:tcPr>
            <w:tcW w:w="406" w:type="dxa"/>
            <w:noWrap w:val="0"/>
            <w:vAlign w:val="center"/>
          </w:tcPr>
          <w:p w14:paraId="5FDCC8BC">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台</w:t>
            </w:r>
          </w:p>
        </w:tc>
      </w:tr>
      <w:tr w14:paraId="5EFDF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711E17FC">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2</w:t>
            </w:r>
          </w:p>
        </w:tc>
        <w:tc>
          <w:tcPr>
            <w:tcW w:w="2184" w:type="dxa"/>
            <w:noWrap w:val="0"/>
            <w:vAlign w:val="center"/>
          </w:tcPr>
          <w:p w14:paraId="60A1E5B4">
            <w:pPr>
              <w:widowControl/>
              <w:jc w:val="center"/>
              <w:textAlignment w:val="center"/>
              <w:rPr>
                <w:rFonts w:hint="eastAsia" w:ascii="宋体" w:hAnsi="宋体" w:eastAsia="宋体" w:cs="宋体"/>
                <w:bCs/>
                <w:color w:val="auto"/>
                <w:sz w:val="24"/>
                <w:szCs w:val="24"/>
              </w:rPr>
            </w:pPr>
            <w:r>
              <w:rPr>
                <w:rFonts w:hint="eastAsia" w:ascii="宋体" w:hAnsi="宋体" w:eastAsia="宋体" w:cs="宋体"/>
                <w:bCs/>
                <w:color w:val="auto"/>
                <w:kern w:val="0"/>
                <w:sz w:val="24"/>
                <w:szCs w:val="24"/>
                <w:lang w:bidi="ar"/>
              </w:rPr>
              <w:t>广角高清摄像机</w:t>
            </w:r>
          </w:p>
        </w:tc>
        <w:tc>
          <w:tcPr>
            <w:tcW w:w="5120" w:type="dxa"/>
            <w:noWrap w:val="0"/>
            <w:vAlign w:val="center"/>
          </w:tcPr>
          <w:p w14:paraId="6489D24C">
            <w:pPr>
              <w:widowControl/>
              <w:jc w:val="left"/>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1、HDMI接口：支持4KP@60fps、4KP@50fps、4KP@30fps、4KP@25fps、及1080P@60fps等图像输出格式；</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2、3G-SDI接口：支持1080P@60fps、1080P@50fps、1080I@60fps、1080I@50fps、1080P30@fps等图像输出格式；</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3、传感器：采用1/2.8英寸CMOS传感器，有效像素：840万；</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4、对焦方式：自动、手动、一键式；</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5、镜头：光学变焦：12x，数字变焦：16x；</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6、视场角：水平视场角：72.5°～6.9°，垂直视场角：44.8°～3.9°；</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7、视频编码标准：H.264、H.265、MJPEG；</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8、码流分辨率：第一码流分辨率：3840×2160P、1920×1080P、1280×720P等；第二码流分辨率：1920×1080P、1280×720P、1024×576P等；</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9、音频压缩标准：AAC、G.711A；</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10、网络协议：NDI®|HX2、SRT、TCP/IP、HTTP、RTSP、RTMP(s)、Onvif、DHCP、GB/T28181及组播；</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11、控制协议：VISCA、Pelco-D、Pelco-P；</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12、接口：1×HDMI，1×3G-SDI，1×RJ45（支持 PoE），1×Line In，2×麦克风输入，1×Line Out，1×RS485；</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13、输入电压：DC 12V+G8/PoE（802.3af）；</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14、功耗：6W；</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15、平均无故障时间：＞30000h。</w:t>
            </w:r>
          </w:p>
        </w:tc>
        <w:tc>
          <w:tcPr>
            <w:tcW w:w="406" w:type="dxa"/>
            <w:noWrap w:val="0"/>
            <w:vAlign w:val="center"/>
          </w:tcPr>
          <w:p w14:paraId="32ECB652">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 xml:space="preserve">1 </w:t>
            </w:r>
          </w:p>
        </w:tc>
        <w:tc>
          <w:tcPr>
            <w:tcW w:w="406" w:type="dxa"/>
            <w:noWrap w:val="0"/>
            <w:vAlign w:val="center"/>
          </w:tcPr>
          <w:p w14:paraId="67BD0AAF">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台</w:t>
            </w:r>
          </w:p>
        </w:tc>
      </w:tr>
      <w:tr w14:paraId="15462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24A2EF05">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3</w:t>
            </w:r>
          </w:p>
        </w:tc>
        <w:tc>
          <w:tcPr>
            <w:tcW w:w="2184" w:type="dxa"/>
            <w:noWrap w:val="0"/>
            <w:vAlign w:val="center"/>
          </w:tcPr>
          <w:p w14:paraId="72F94732">
            <w:pPr>
              <w:widowControl/>
              <w:jc w:val="center"/>
              <w:textAlignment w:val="center"/>
              <w:rPr>
                <w:rFonts w:hint="eastAsia" w:ascii="宋体" w:hAnsi="宋体" w:eastAsia="宋体" w:cs="宋体"/>
                <w:bCs/>
                <w:color w:val="auto"/>
                <w:sz w:val="24"/>
                <w:szCs w:val="24"/>
              </w:rPr>
            </w:pPr>
            <w:r>
              <w:rPr>
                <w:rFonts w:hint="eastAsia" w:ascii="宋体" w:hAnsi="宋体" w:eastAsia="宋体" w:cs="宋体"/>
                <w:bCs/>
                <w:color w:val="auto"/>
                <w:kern w:val="0"/>
                <w:sz w:val="24"/>
                <w:szCs w:val="24"/>
                <w:lang w:bidi="ar"/>
              </w:rPr>
              <w:t>高清一体化枪式摄像机</w:t>
            </w:r>
          </w:p>
        </w:tc>
        <w:tc>
          <w:tcPr>
            <w:tcW w:w="5120" w:type="dxa"/>
            <w:noWrap w:val="0"/>
            <w:vAlign w:val="center"/>
          </w:tcPr>
          <w:p w14:paraId="5E8DEAE3">
            <w:pPr>
              <w:widowControl/>
              <w:jc w:val="left"/>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1、采用1/2.7英寸、207万有效像素的高品质HD CMOS传感器，可实现最大1920×1080高分辨率的优质图像；</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2、20倍光学变焦，f=4.42～88.5mm，16倍数字变焦；</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3、支持高清1080P/60,1080P/50,1080I/60,1080I/50,1080P/30,1080P/25,720P/60,720P/50等多种高清视频制式；</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4、支持3G-SDI，LAN接口，3G-SDI支持在1080P60格式下传输100米；</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5、支持H.265/H.264视频压缩；</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6、支持VISCA、PELCO-D、PELCO-P协议，支持自动识别协议。支持网络全命令VISCA控制协议；</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7、最大拍摄角度为60.7度。</w:t>
            </w:r>
          </w:p>
        </w:tc>
        <w:tc>
          <w:tcPr>
            <w:tcW w:w="406" w:type="dxa"/>
            <w:noWrap w:val="0"/>
            <w:vAlign w:val="center"/>
          </w:tcPr>
          <w:p w14:paraId="0ECB80E3">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 xml:space="preserve">3 </w:t>
            </w:r>
          </w:p>
        </w:tc>
        <w:tc>
          <w:tcPr>
            <w:tcW w:w="406" w:type="dxa"/>
            <w:noWrap w:val="0"/>
            <w:vAlign w:val="center"/>
          </w:tcPr>
          <w:p w14:paraId="69489272">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台</w:t>
            </w:r>
          </w:p>
        </w:tc>
      </w:tr>
      <w:tr w14:paraId="43AD7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27C434F2">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4</w:t>
            </w:r>
          </w:p>
        </w:tc>
        <w:tc>
          <w:tcPr>
            <w:tcW w:w="2184" w:type="dxa"/>
            <w:noWrap w:val="0"/>
            <w:vAlign w:val="center"/>
          </w:tcPr>
          <w:p w14:paraId="6BD014C2">
            <w:pPr>
              <w:widowControl/>
              <w:jc w:val="center"/>
              <w:textAlignment w:val="center"/>
              <w:rPr>
                <w:rFonts w:hint="eastAsia" w:ascii="宋体" w:hAnsi="宋体" w:eastAsia="宋体" w:cs="宋体"/>
                <w:bCs/>
                <w:color w:val="auto"/>
                <w:sz w:val="24"/>
                <w:szCs w:val="24"/>
              </w:rPr>
            </w:pPr>
            <w:r>
              <w:rPr>
                <w:rFonts w:hint="eastAsia" w:ascii="宋体" w:hAnsi="宋体" w:eastAsia="宋体" w:cs="宋体"/>
                <w:bCs/>
                <w:color w:val="auto"/>
                <w:kern w:val="0"/>
                <w:sz w:val="24"/>
                <w:szCs w:val="24"/>
                <w:lang w:bidi="ar"/>
              </w:rPr>
              <w:t>摄像机支架</w:t>
            </w:r>
          </w:p>
        </w:tc>
        <w:tc>
          <w:tcPr>
            <w:tcW w:w="5120" w:type="dxa"/>
            <w:noWrap w:val="0"/>
            <w:vAlign w:val="center"/>
          </w:tcPr>
          <w:p w14:paraId="60D08182">
            <w:pPr>
              <w:widowControl/>
              <w:jc w:val="left"/>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摄像机安装支架，根据现场实际情况，确定安装方式和支架类型，可分为支架安装、壁装和吸顶安装</w:t>
            </w:r>
          </w:p>
        </w:tc>
        <w:tc>
          <w:tcPr>
            <w:tcW w:w="406" w:type="dxa"/>
            <w:noWrap w:val="0"/>
            <w:vAlign w:val="center"/>
          </w:tcPr>
          <w:p w14:paraId="77247317">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 xml:space="preserve">4 </w:t>
            </w:r>
          </w:p>
        </w:tc>
        <w:tc>
          <w:tcPr>
            <w:tcW w:w="406" w:type="dxa"/>
            <w:noWrap w:val="0"/>
            <w:vAlign w:val="center"/>
          </w:tcPr>
          <w:p w14:paraId="4A4F1102">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个</w:t>
            </w:r>
          </w:p>
        </w:tc>
      </w:tr>
      <w:tr w14:paraId="79941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57BF3C8A">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5</w:t>
            </w:r>
          </w:p>
        </w:tc>
        <w:tc>
          <w:tcPr>
            <w:tcW w:w="2184" w:type="dxa"/>
            <w:noWrap w:val="0"/>
            <w:vAlign w:val="center"/>
          </w:tcPr>
          <w:p w14:paraId="6A1C1C68">
            <w:pPr>
              <w:widowControl/>
              <w:jc w:val="center"/>
              <w:textAlignment w:val="center"/>
              <w:rPr>
                <w:rFonts w:hint="eastAsia" w:ascii="宋体" w:hAnsi="宋体" w:eastAsia="宋体" w:cs="宋体"/>
                <w:bCs/>
                <w:color w:val="auto"/>
                <w:sz w:val="24"/>
                <w:szCs w:val="24"/>
              </w:rPr>
            </w:pPr>
            <w:r>
              <w:rPr>
                <w:rFonts w:hint="eastAsia" w:ascii="宋体" w:hAnsi="宋体" w:eastAsia="宋体" w:cs="宋体"/>
                <w:bCs/>
                <w:color w:val="auto"/>
                <w:kern w:val="0"/>
                <w:sz w:val="24"/>
                <w:szCs w:val="24"/>
                <w:lang w:bidi="ar"/>
              </w:rPr>
              <w:t>电容话筒</w:t>
            </w:r>
          </w:p>
        </w:tc>
        <w:tc>
          <w:tcPr>
            <w:tcW w:w="5120" w:type="dxa"/>
            <w:noWrap w:val="0"/>
            <w:vAlign w:val="center"/>
          </w:tcPr>
          <w:p w14:paraId="34480C04">
            <w:pPr>
              <w:widowControl/>
              <w:jc w:val="left"/>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适用于法庭场景，</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提供90°的超窄拾音角度，对于外部的噪音有很好的抑制效果；</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支持48V幻象供电工作。</w:t>
            </w:r>
          </w:p>
        </w:tc>
        <w:tc>
          <w:tcPr>
            <w:tcW w:w="406" w:type="dxa"/>
            <w:noWrap w:val="0"/>
            <w:vAlign w:val="center"/>
          </w:tcPr>
          <w:p w14:paraId="4BFD5B81">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8</w:t>
            </w:r>
          </w:p>
        </w:tc>
        <w:tc>
          <w:tcPr>
            <w:tcW w:w="406" w:type="dxa"/>
            <w:noWrap w:val="0"/>
            <w:vAlign w:val="center"/>
          </w:tcPr>
          <w:p w14:paraId="0C146122">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支</w:t>
            </w:r>
          </w:p>
        </w:tc>
      </w:tr>
      <w:tr w14:paraId="44763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2A7BDAAD">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二</w:t>
            </w:r>
          </w:p>
        </w:tc>
        <w:tc>
          <w:tcPr>
            <w:tcW w:w="2184" w:type="dxa"/>
            <w:noWrap w:val="0"/>
            <w:vAlign w:val="center"/>
          </w:tcPr>
          <w:p w14:paraId="5D36C545">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智能语音转写系统</w:t>
            </w:r>
          </w:p>
        </w:tc>
        <w:tc>
          <w:tcPr>
            <w:tcW w:w="5120" w:type="dxa"/>
            <w:noWrap w:val="0"/>
            <w:vAlign w:val="center"/>
          </w:tcPr>
          <w:p w14:paraId="3C90E206">
            <w:pPr>
              <w:spacing w:line="360" w:lineRule="auto"/>
              <w:jc w:val="center"/>
              <w:rPr>
                <w:rFonts w:hint="eastAsia" w:ascii="宋体" w:hAnsi="宋体" w:eastAsia="宋体" w:cs="宋体"/>
                <w:bCs/>
                <w:color w:val="auto"/>
                <w:sz w:val="24"/>
                <w:szCs w:val="24"/>
              </w:rPr>
            </w:pPr>
          </w:p>
        </w:tc>
        <w:tc>
          <w:tcPr>
            <w:tcW w:w="406" w:type="dxa"/>
            <w:noWrap w:val="0"/>
            <w:vAlign w:val="center"/>
          </w:tcPr>
          <w:p w14:paraId="2CBC83B4">
            <w:pPr>
              <w:spacing w:line="360" w:lineRule="auto"/>
              <w:jc w:val="center"/>
              <w:rPr>
                <w:rFonts w:hint="eastAsia" w:ascii="宋体" w:hAnsi="宋体" w:eastAsia="宋体" w:cs="宋体"/>
                <w:bCs/>
                <w:color w:val="auto"/>
                <w:sz w:val="24"/>
                <w:szCs w:val="24"/>
              </w:rPr>
            </w:pPr>
          </w:p>
        </w:tc>
        <w:tc>
          <w:tcPr>
            <w:tcW w:w="406" w:type="dxa"/>
            <w:noWrap w:val="0"/>
            <w:vAlign w:val="center"/>
          </w:tcPr>
          <w:p w14:paraId="3AE6648A">
            <w:pPr>
              <w:spacing w:line="360" w:lineRule="auto"/>
              <w:jc w:val="center"/>
              <w:rPr>
                <w:rFonts w:hint="eastAsia" w:ascii="宋体" w:hAnsi="宋体" w:eastAsia="宋体" w:cs="宋体"/>
                <w:bCs/>
                <w:color w:val="auto"/>
                <w:sz w:val="24"/>
                <w:szCs w:val="24"/>
              </w:rPr>
            </w:pPr>
          </w:p>
        </w:tc>
      </w:tr>
      <w:tr w14:paraId="4BF20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4FEB2721">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1</w:t>
            </w:r>
          </w:p>
        </w:tc>
        <w:tc>
          <w:tcPr>
            <w:tcW w:w="2184" w:type="dxa"/>
            <w:noWrap w:val="0"/>
            <w:vAlign w:val="center"/>
          </w:tcPr>
          <w:p w14:paraId="5131F660">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语音转写系统</w:t>
            </w:r>
          </w:p>
        </w:tc>
        <w:tc>
          <w:tcPr>
            <w:tcW w:w="5120" w:type="dxa"/>
            <w:noWrap w:val="0"/>
            <w:vAlign w:val="center"/>
          </w:tcPr>
          <w:p w14:paraId="07437195">
            <w:pPr>
              <w:widowControl/>
              <w:jc w:val="left"/>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1、内网部署：系统要求在本地法院内网中进行所有软硬件设备的安装部署，全部数据都要求保存在本地服务器上，与外网无任何数据交互。</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2、集中采音方式：系统对参与各方通过麦克风设备输入的语音要求采用集中式的采音设备。</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3、系统扩展性：系统前端语音识别处理设备支持轻便化部署，通过在单个科技法庭中添加单一设备即可支持16路的语音信号输入，同时针对具体法庭需求可多台设备扩展。</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4、机器自我学习：</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（1）导入案件资料：系统支持自学习训练成个案资源包，提高系统转写识别率；</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（2）添加个性化词汇（人名、地名、公司名等），训练后可提高转写识别率；</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5、多角色区分识别转文字：支持配置多路麦克风对应的参与人角色信息，从而可以实现在使用过程中区分多角色的说话内容分别进行识别；支持至少2路语音流同时转写，且两路均可正确转写，不吞字、不丢字。</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6、麦克风配置与控制：</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（1）支持记录员在配置中心完成角色永久配置，并支持在客户端完成一次性角色配置，实现角色配置的灵活性；</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（2）支持记录员远程对说话人的麦克风进行音频传输控制，可在客户端对麦克风切换“设为静音”与“取消静音”；</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7、状态控制：支持记录员根据现场情况切换“开始识别”、“停止识别”。</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8、笔录智能修正：针对转写错误的地方，系统支持快速智能修正。</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（1）无效语气词自动过滤：在识别过程中，对说话人说出的无效语气词进行自动过滤，不进行返回到客户端上。</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（2）文本顺滑：对口语化的文本进行分句、加标点，并对文本内容的流利性进行处理；</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9、辅助修改功能：按照正常word操作习惯提供正常的增删改、复制、粘贴、字号、段落、页面（页眉、页脚、页码），编辑（查找、替换、撤销、恢复）等。</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10、音频测听：</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（1）单句回听：在修改笔录时支持书记员直接将光标放在句子之中，右键或者点击上方的回听按钮，可从该句开始播放原始语音；</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11、模糊音设置：在前后鼻音/平翘舌区分较差的区域，可通过设置模糊音提升识别率。</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12、系统架构：要求采用C/S架构。</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13、系统支持双屏记录功能，可通过引用原始识别区域的内容，快速插入到编辑区域，辅助快速生成记录。</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14、系统支持至少三种插入模式。</w:t>
            </w:r>
          </w:p>
        </w:tc>
        <w:tc>
          <w:tcPr>
            <w:tcW w:w="406" w:type="dxa"/>
            <w:noWrap w:val="0"/>
            <w:vAlign w:val="center"/>
          </w:tcPr>
          <w:p w14:paraId="35BCBA11">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1</w:t>
            </w:r>
          </w:p>
        </w:tc>
        <w:tc>
          <w:tcPr>
            <w:tcW w:w="406" w:type="dxa"/>
            <w:noWrap w:val="0"/>
            <w:vAlign w:val="center"/>
          </w:tcPr>
          <w:p w14:paraId="3BE0F4A2">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套</w:t>
            </w:r>
          </w:p>
        </w:tc>
      </w:tr>
      <w:tr w14:paraId="7DB4E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64B8D99E">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2</w:t>
            </w:r>
          </w:p>
        </w:tc>
        <w:tc>
          <w:tcPr>
            <w:tcW w:w="2184" w:type="dxa"/>
            <w:noWrap w:val="0"/>
            <w:vAlign w:val="center"/>
          </w:tcPr>
          <w:p w14:paraId="6F61CCB5">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音频采集主机</w:t>
            </w:r>
          </w:p>
        </w:tc>
        <w:tc>
          <w:tcPr>
            <w:tcW w:w="5120" w:type="dxa"/>
            <w:noWrap w:val="0"/>
            <w:vAlign w:val="center"/>
          </w:tcPr>
          <w:p w14:paraId="002752EA">
            <w:pPr>
              <w:widowControl/>
              <w:jc w:val="left"/>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1.全面的矩阵混音功能，24bit/48KHz 取样频率，高性能 A/D D/A 转换器和 32-bit 浮点 DSP 处理器；</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2.DSP音频处理，内置自动混音台，包括混音和自动混音功能，具备混音分量控制功能，支持反馈消除；</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3.输入每通道：前级放大、信号发生器、扩展器、压缩器、5段参量均衡；</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4.输出每通道：31段图示均衡、延时器、分频器、限幅器；</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5.每通道可独立设置中文名称；</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6.测试信号发生器，正弦波、粉噪、白噪，频率和电平可选；</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7.输入相位开关、静音开关、幻象供电开关；</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8.每通道输出静音开关，相位开关；</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9.中、繁、英三种语言灵活切换；</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10.一键显示所有功能模块；</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11.随机存储中文帮助文档及软件；</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12.中控代码随机生成；断电自动保护记忆功能；一键复位功能；</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13.通道拷贝、粘贴、联控功能；</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14. 同一台主机允许10个用户管理，用户名可设置为中文；</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15. 支持私有化网络部署，每个房间一台；设备安装过程中仅需配置1个IP地址，连接音频线，即可使用；</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16.设备名称可修改，允许中文名称；</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17.可编辑预置模式，新建、删除、修改，一键初始化，预置模式可存储至电脑及一键恢复；</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18.输入输出通道可独立设置颜色，一键恢复开关；</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19.模拟信号转为数字信号，支持≥12路输入（平衡），支持网络≥12路非混音输出（平衡）（单独输出以便用于语音识别分角色），多路音频同步到达（毫秒级）</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20.有摄像跟踪功能，可独立对一台摄像机进行预置位调整；</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21.方便快捷的网页控制：内置网页控制器，在 Windows、Android、iOS 等平台上皆可快速操作；</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22.Enternet多用途数据传输及控制端口，可以支持实时管理单台及多台设备；</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 xml:space="preserve">23.直观形象、简洁易懂的图形化软件控制界面，为客户带来快捷、实时的操作体验；       </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 xml:space="preserve">24.设备无需光盘，自带安装软件，一台设备对于一个软件版本，解决因为安装光盘丢失以及多个软件版本混乱引起的问题；                      </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25.可扩展USB接口，可以实现设备升级功能，USB音乐播放与录制功能；</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26.配置双向RS232接口、RS485接口、标准以太网控制接口、8通道可编程GPIO控制接口（可自定义输入输出）；</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27支持网络接口传输音频，使用华宇标准协议；直接提供网络音频流，支持Windows、信创等各类操作系统；</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28.支持8~100组场景预设功能；</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29.每台设备具有永久使用权，配置设备的软件均不需要授权；</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30.直观、图形化软件控制界面，可工作在XP/Windows7、8、10等系统环境下。</w:t>
            </w:r>
          </w:p>
        </w:tc>
        <w:tc>
          <w:tcPr>
            <w:tcW w:w="406" w:type="dxa"/>
            <w:noWrap w:val="0"/>
            <w:vAlign w:val="center"/>
          </w:tcPr>
          <w:p w14:paraId="2EDE8EE5">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1</w:t>
            </w:r>
          </w:p>
        </w:tc>
        <w:tc>
          <w:tcPr>
            <w:tcW w:w="406" w:type="dxa"/>
            <w:noWrap w:val="0"/>
            <w:vAlign w:val="center"/>
          </w:tcPr>
          <w:p w14:paraId="45E3C96C">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台</w:t>
            </w:r>
          </w:p>
        </w:tc>
      </w:tr>
      <w:tr w14:paraId="78B11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0C6428E4">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三</w:t>
            </w:r>
          </w:p>
        </w:tc>
        <w:tc>
          <w:tcPr>
            <w:tcW w:w="2184" w:type="dxa"/>
            <w:noWrap w:val="0"/>
            <w:vAlign w:val="center"/>
          </w:tcPr>
          <w:p w14:paraId="3F4790E4">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互联网庭审系统</w:t>
            </w:r>
          </w:p>
        </w:tc>
        <w:tc>
          <w:tcPr>
            <w:tcW w:w="5120" w:type="dxa"/>
            <w:noWrap w:val="0"/>
            <w:vAlign w:val="center"/>
          </w:tcPr>
          <w:p w14:paraId="5F8AAF6F">
            <w:pPr>
              <w:spacing w:line="360" w:lineRule="auto"/>
              <w:jc w:val="center"/>
              <w:rPr>
                <w:rFonts w:hint="eastAsia" w:ascii="宋体" w:hAnsi="宋体" w:eastAsia="宋体" w:cs="宋体"/>
                <w:bCs/>
                <w:color w:val="auto"/>
                <w:sz w:val="24"/>
                <w:szCs w:val="24"/>
              </w:rPr>
            </w:pPr>
          </w:p>
        </w:tc>
        <w:tc>
          <w:tcPr>
            <w:tcW w:w="406" w:type="dxa"/>
            <w:noWrap w:val="0"/>
            <w:vAlign w:val="center"/>
          </w:tcPr>
          <w:p w14:paraId="2D3E333B">
            <w:pPr>
              <w:spacing w:line="360" w:lineRule="auto"/>
              <w:jc w:val="center"/>
              <w:rPr>
                <w:rFonts w:hint="eastAsia" w:ascii="宋体" w:hAnsi="宋体" w:eastAsia="宋体" w:cs="宋体"/>
                <w:bCs/>
                <w:color w:val="auto"/>
                <w:sz w:val="24"/>
                <w:szCs w:val="24"/>
              </w:rPr>
            </w:pPr>
          </w:p>
        </w:tc>
        <w:tc>
          <w:tcPr>
            <w:tcW w:w="406" w:type="dxa"/>
            <w:noWrap w:val="0"/>
            <w:vAlign w:val="center"/>
          </w:tcPr>
          <w:p w14:paraId="33F58617">
            <w:pPr>
              <w:spacing w:line="360" w:lineRule="auto"/>
              <w:jc w:val="center"/>
              <w:rPr>
                <w:rFonts w:hint="eastAsia" w:ascii="宋体" w:hAnsi="宋体" w:eastAsia="宋体" w:cs="宋体"/>
                <w:bCs/>
                <w:color w:val="auto"/>
                <w:sz w:val="24"/>
                <w:szCs w:val="24"/>
              </w:rPr>
            </w:pPr>
          </w:p>
        </w:tc>
      </w:tr>
      <w:tr w14:paraId="52DB6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1BA2C481">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1</w:t>
            </w:r>
          </w:p>
        </w:tc>
        <w:tc>
          <w:tcPr>
            <w:tcW w:w="2184" w:type="dxa"/>
            <w:noWrap w:val="0"/>
            <w:vAlign w:val="center"/>
          </w:tcPr>
          <w:p w14:paraId="5A6B2178">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互联网庭审终端（含3年互联网庭审系统服务）</w:t>
            </w:r>
          </w:p>
        </w:tc>
        <w:tc>
          <w:tcPr>
            <w:tcW w:w="5120" w:type="dxa"/>
            <w:noWrap w:val="0"/>
            <w:vAlign w:val="center"/>
          </w:tcPr>
          <w:p w14:paraId="2FF68C8C">
            <w:pPr>
              <w:widowControl/>
              <w:jc w:val="left"/>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支持多方高清视频会议，最大9 画面集中显示</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支持多种Layout 模式：1，2，3，4，1+5，1+7，9</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支持会场画面轮询显示</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配套全向麦克风支持8 米拾音，消除回音</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支持1080p、720p 多种高清视频编解码格式</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支持会议中发送、接收支持高清1080P 30fps 双流</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配套高清1080P 光学变焦镜头支持12X、10X、5X，并支持镜头预制位设置，最大支持10 个预制位</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支持与无线传屏配对</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采用H.264 HP SVC 视频分层编码技术，丢包率达30%的情况下，保证视频不卡顿不花屏</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支持独有的音频Opus分层编码，具有强大的前向、后向纠错算法，在高达50%丢包的情况下，依然有良好的声音质量，清楚连贯</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支持无线Wifi功能</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采用全高清，光学变焦摄像机，提供媲美电视台的专业级直播效果</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采用可对接专业导播设备，视频矩阵系统及调音台</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采用直播中可遥控变换场景，特写与全景兼顾</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采用H.264 动态高清编码技术，桌面分享支持1080p，既可分享文档，也可完美播放音视频文件</w:t>
            </w:r>
          </w:p>
        </w:tc>
        <w:tc>
          <w:tcPr>
            <w:tcW w:w="406" w:type="dxa"/>
            <w:noWrap w:val="0"/>
            <w:vAlign w:val="center"/>
          </w:tcPr>
          <w:p w14:paraId="2F050E49">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1</w:t>
            </w:r>
          </w:p>
        </w:tc>
        <w:tc>
          <w:tcPr>
            <w:tcW w:w="406" w:type="dxa"/>
            <w:noWrap w:val="0"/>
            <w:vAlign w:val="center"/>
          </w:tcPr>
          <w:p w14:paraId="2AA4506C">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台</w:t>
            </w:r>
          </w:p>
        </w:tc>
      </w:tr>
      <w:tr w14:paraId="40F37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55E93916">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四</w:t>
            </w:r>
          </w:p>
        </w:tc>
        <w:tc>
          <w:tcPr>
            <w:tcW w:w="2184" w:type="dxa"/>
            <w:noWrap w:val="0"/>
            <w:vAlign w:val="center"/>
          </w:tcPr>
          <w:p w14:paraId="31A9A935">
            <w:pPr>
              <w:spacing w:line="360" w:lineRule="auto"/>
              <w:jc w:val="center"/>
              <w:rPr>
                <w:rFonts w:hint="eastAsia" w:ascii="宋体" w:hAnsi="宋体" w:eastAsia="宋体" w:cs="宋体"/>
                <w:bCs/>
                <w:color w:val="auto"/>
                <w:sz w:val="24"/>
                <w:szCs w:val="24"/>
              </w:rPr>
            </w:pPr>
            <w:r>
              <w:rPr>
                <w:rFonts w:hint="eastAsia" w:ascii="宋体" w:hAnsi="宋体" w:eastAsia="宋体" w:cs="宋体"/>
                <w:color w:val="auto"/>
                <w:sz w:val="24"/>
                <w:szCs w:val="24"/>
              </w:rPr>
              <w:t>终端交互输入输出系统</w:t>
            </w:r>
          </w:p>
        </w:tc>
        <w:tc>
          <w:tcPr>
            <w:tcW w:w="5120" w:type="dxa"/>
            <w:noWrap w:val="0"/>
            <w:vAlign w:val="center"/>
          </w:tcPr>
          <w:p w14:paraId="7FE33CB1">
            <w:pPr>
              <w:spacing w:line="360" w:lineRule="auto"/>
              <w:jc w:val="center"/>
              <w:rPr>
                <w:rFonts w:hint="eastAsia" w:ascii="宋体" w:hAnsi="宋体" w:eastAsia="宋体" w:cs="宋体"/>
                <w:bCs/>
                <w:color w:val="auto"/>
                <w:sz w:val="24"/>
                <w:szCs w:val="24"/>
              </w:rPr>
            </w:pPr>
          </w:p>
        </w:tc>
        <w:tc>
          <w:tcPr>
            <w:tcW w:w="406" w:type="dxa"/>
            <w:noWrap w:val="0"/>
            <w:vAlign w:val="center"/>
          </w:tcPr>
          <w:p w14:paraId="393F26F7">
            <w:pPr>
              <w:spacing w:line="360" w:lineRule="auto"/>
              <w:jc w:val="center"/>
              <w:rPr>
                <w:rFonts w:hint="eastAsia" w:ascii="宋体" w:hAnsi="宋体" w:eastAsia="宋体" w:cs="宋体"/>
                <w:bCs/>
                <w:color w:val="auto"/>
                <w:sz w:val="24"/>
                <w:szCs w:val="24"/>
              </w:rPr>
            </w:pPr>
          </w:p>
        </w:tc>
        <w:tc>
          <w:tcPr>
            <w:tcW w:w="406" w:type="dxa"/>
            <w:noWrap w:val="0"/>
            <w:vAlign w:val="center"/>
          </w:tcPr>
          <w:p w14:paraId="4C5879CD">
            <w:pPr>
              <w:spacing w:line="360" w:lineRule="auto"/>
              <w:jc w:val="center"/>
              <w:rPr>
                <w:rFonts w:hint="eastAsia" w:ascii="宋体" w:hAnsi="宋体" w:eastAsia="宋体" w:cs="宋体"/>
                <w:bCs/>
                <w:color w:val="auto"/>
                <w:sz w:val="24"/>
                <w:szCs w:val="24"/>
              </w:rPr>
            </w:pPr>
          </w:p>
        </w:tc>
      </w:tr>
      <w:tr w14:paraId="3371B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1E17985F">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1</w:t>
            </w:r>
          </w:p>
        </w:tc>
        <w:tc>
          <w:tcPr>
            <w:tcW w:w="2184" w:type="dxa"/>
            <w:noWrap w:val="0"/>
            <w:vAlign w:val="center"/>
          </w:tcPr>
          <w:p w14:paraId="6BB9B7D9">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庭审终端</w:t>
            </w:r>
          </w:p>
        </w:tc>
        <w:tc>
          <w:tcPr>
            <w:tcW w:w="5120" w:type="dxa"/>
            <w:noWrap w:val="0"/>
            <w:vAlign w:val="center"/>
          </w:tcPr>
          <w:p w14:paraId="30F832E7">
            <w:pPr>
              <w:widowControl/>
              <w:jc w:val="left"/>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1、CPU型号：国产芯片，主频2.3GHz，8核；</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2、显卡：2G独立显卡；</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3、内存：8GB；</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4、硬盘：256GB固态；</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5、操作系统：统信操作系统。</w:t>
            </w:r>
          </w:p>
        </w:tc>
        <w:tc>
          <w:tcPr>
            <w:tcW w:w="406" w:type="dxa"/>
            <w:noWrap w:val="0"/>
            <w:vAlign w:val="center"/>
          </w:tcPr>
          <w:p w14:paraId="2004D51B">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2</w:t>
            </w:r>
          </w:p>
        </w:tc>
        <w:tc>
          <w:tcPr>
            <w:tcW w:w="406" w:type="dxa"/>
            <w:noWrap w:val="0"/>
            <w:vAlign w:val="center"/>
          </w:tcPr>
          <w:p w14:paraId="6DE258A4">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台</w:t>
            </w:r>
          </w:p>
        </w:tc>
      </w:tr>
      <w:tr w14:paraId="31599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0A741E52">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2</w:t>
            </w:r>
          </w:p>
        </w:tc>
        <w:tc>
          <w:tcPr>
            <w:tcW w:w="2184" w:type="dxa"/>
            <w:noWrap w:val="0"/>
            <w:vAlign w:val="center"/>
          </w:tcPr>
          <w:p w14:paraId="6757CE67">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当事人显示器</w:t>
            </w:r>
          </w:p>
        </w:tc>
        <w:tc>
          <w:tcPr>
            <w:tcW w:w="5120" w:type="dxa"/>
            <w:noWrap w:val="0"/>
            <w:vAlign w:val="center"/>
          </w:tcPr>
          <w:p w14:paraId="02CBE3C1">
            <w:pPr>
              <w:widowControl/>
              <w:jc w:val="left"/>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1、屏幕尺寸：23.8英寸；</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2、分辨率：1920×1080dpi；</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3、接口：HDMI。</w:t>
            </w:r>
          </w:p>
        </w:tc>
        <w:tc>
          <w:tcPr>
            <w:tcW w:w="406" w:type="dxa"/>
            <w:noWrap w:val="0"/>
            <w:vAlign w:val="center"/>
          </w:tcPr>
          <w:p w14:paraId="31F32C9B">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2</w:t>
            </w:r>
          </w:p>
        </w:tc>
        <w:tc>
          <w:tcPr>
            <w:tcW w:w="406" w:type="dxa"/>
            <w:noWrap w:val="0"/>
            <w:vAlign w:val="center"/>
          </w:tcPr>
          <w:p w14:paraId="010ECBAC">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台</w:t>
            </w:r>
          </w:p>
        </w:tc>
      </w:tr>
      <w:tr w14:paraId="032BF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14732683">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3</w:t>
            </w:r>
          </w:p>
        </w:tc>
        <w:tc>
          <w:tcPr>
            <w:tcW w:w="2184" w:type="dxa"/>
            <w:noWrap w:val="0"/>
            <w:vAlign w:val="center"/>
          </w:tcPr>
          <w:p w14:paraId="2E487F79">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法官显示器</w:t>
            </w:r>
          </w:p>
        </w:tc>
        <w:tc>
          <w:tcPr>
            <w:tcW w:w="5120" w:type="dxa"/>
            <w:noWrap w:val="0"/>
            <w:vAlign w:val="center"/>
          </w:tcPr>
          <w:p w14:paraId="375A307F">
            <w:pPr>
              <w:widowControl/>
              <w:jc w:val="left"/>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屏幕尺寸：34英寸</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分辨率：2560x1080或3440x1440</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屏幕比例：21:9</w:t>
            </w:r>
          </w:p>
        </w:tc>
        <w:tc>
          <w:tcPr>
            <w:tcW w:w="406" w:type="dxa"/>
            <w:noWrap w:val="0"/>
            <w:vAlign w:val="center"/>
          </w:tcPr>
          <w:p w14:paraId="63E68E19">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4</w:t>
            </w:r>
          </w:p>
        </w:tc>
        <w:tc>
          <w:tcPr>
            <w:tcW w:w="406" w:type="dxa"/>
            <w:noWrap w:val="0"/>
            <w:vAlign w:val="center"/>
          </w:tcPr>
          <w:p w14:paraId="461B2330">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台</w:t>
            </w:r>
          </w:p>
        </w:tc>
      </w:tr>
      <w:tr w14:paraId="5D614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5DF7202A">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4</w:t>
            </w:r>
          </w:p>
        </w:tc>
        <w:tc>
          <w:tcPr>
            <w:tcW w:w="2184" w:type="dxa"/>
            <w:noWrap w:val="0"/>
            <w:vAlign w:val="center"/>
          </w:tcPr>
          <w:p w14:paraId="317B4DE7">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显示器专用桌面支架</w:t>
            </w:r>
          </w:p>
        </w:tc>
        <w:tc>
          <w:tcPr>
            <w:tcW w:w="5120" w:type="dxa"/>
            <w:noWrap w:val="0"/>
            <w:vAlign w:val="center"/>
          </w:tcPr>
          <w:p w14:paraId="0E049803">
            <w:pPr>
              <w:widowControl/>
              <w:jc w:val="left"/>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标准可调节折叠底座，VESA安装孔位50*50、75*75、100*100。</w:t>
            </w:r>
          </w:p>
        </w:tc>
        <w:tc>
          <w:tcPr>
            <w:tcW w:w="406" w:type="dxa"/>
            <w:noWrap w:val="0"/>
            <w:vAlign w:val="center"/>
          </w:tcPr>
          <w:p w14:paraId="62F0A36F">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6</w:t>
            </w:r>
          </w:p>
        </w:tc>
        <w:tc>
          <w:tcPr>
            <w:tcW w:w="406" w:type="dxa"/>
            <w:noWrap w:val="0"/>
            <w:vAlign w:val="center"/>
          </w:tcPr>
          <w:p w14:paraId="2BFA6704">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个</w:t>
            </w:r>
          </w:p>
        </w:tc>
      </w:tr>
      <w:tr w14:paraId="1999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63106D51">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5</w:t>
            </w:r>
          </w:p>
        </w:tc>
        <w:tc>
          <w:tcPr>
            <w:tcW w:w="2184" w:type="dxa"/>
            <w:noWrap w:val="0"/>
            <w:vAlign w:val="center"/>
          </w:tcPr>
          <w:p w14:paraId="3ADF2BD9">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高清证据展示台</w:t>
            </w:r>
          </w:p>
        </w:tc>
        <w:tc>
          <w:tcPr>
            <w:tcW w:w="5120" w:type="dxa"/>
            <w:noWrap w:val="0"/>
            <w:vAlign w:val="center"/>
          </w:tcPr>
          <w:p w14:paraId="0EEB5C15">
            <w:pPr>
              <w:widowControl/>
              <w:jc w:val="left"/>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双摄像头，摄像头1500万像素，A4幅面，高清高速扫描仪，OCR识别，一键PDF</w:t>
            </w:r>
          </w:p>
        </w:tc>
        <w:tc>
          <w:tcPr>
            <w:tcW w:w="406" w:type="dxa"/>
            <w:noWrap w:val="0"/>
            <w:vAlign w:val="center"/>
          </w:tcPr>
          <w:p w14:paraId="78DBAC1C">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1</w:t>
            </w:r>
          </w:p>
        </w:tc>
        <w:tc>
          <w:tcPr>
            <w:tcW w:w="406" w:type="dxa"/>
            <w:noWrap w:val="0"/>
            <w:vAlign w:val="center"/>
          </w:tcPr>
          <w:p w14:paraId="21384CBC">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台</w:t>
            </w:r>
          </w:p>
        </w:tc>
      </w:tr>
      <w:tr w14:paraId="6208E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2232359A">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6</w:t>
            </w:r>
          </w:p>
        </w:tc>
        <w:tc>
          <w:tcPr>
            <w:tcW w:w="2184" w:type="dxa"/>
            <w:noWrap w:val="0"/>
            <w:vAlign w:val="center"/>
          </w:tcPr>
          <w:p w14:paraId="41653881">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HDMI分配器</w:t>
            </w:r>
          </w:p>
        </w:tc>
        <w:tc>
          <w:tcPr>
            <w:tcW w:w="5120" w:type="dxa"/>
            <w:noWrap w:val="0"/>
            <w:vAlign w:val="center"/>
          </w:tcPr>
          <w:p w14:paraId="2C32FC59">
            <w:pPr>
              <w:widowControl/>
              <w:jc w:val="left"/>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符合HDMI1.4/HDCP1.2标准</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HDMI信号一分四路输出</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分辨率最高支持：4K×2K@60Hz</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EDID管理，低功耗，不解HDCP/KEY</w:t>
            </w:r>
          </w:p>
        </w:tc>
        <w:tc>
          <w:tcPr>
            <w:tcW w:w="406" w:type="dxa"/>
            <w:noWrap w:val="0"/>
            <w:vAlign w:val="center"/>
          </w:tcPr>
          <w:p w14:paraId="2DF53682">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2</w:t>
            </w:r>
          </w:p>
        </w:tc>
        <w:tc>
          <w:tcPr>
            <w:tcW w:w="406" w:type="dxa"/>
            <w:noWrap w:val="0"/>
            <w:vAlign w:val="center"/>
          </w:tcPr>
          <w:p w14:paraId="24067A79">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台</w:t>
            </w:r>
          </w:p>
        </w:tc>
      </w:tr>
      <w:tr w14:paraId="658D0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2DB0941C">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7</w:t>
            </w:r>
          </w:p>
        </w:tc>
        <w:tc>
          <w:tcPr>
            <w:tcW w:w="2184" w:type="dxa"/>
            <w:noWrap w:val="0"/>
            <w:vAlign w:val="center"/>
          </w:tcPr>
          <w:p w14:paraId="5B3C147D">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大屏幕显示设备</w:t>
            </w:r>
          </w:p>
        </w:tc>
        <w:tc>
          <w:tcPr>
            <w:tcW w:w="5120" w:type="dxa"/>
            <w:noWrap w:val="0"/>
            <w:vAlign w:val="center"/>
          </w:tcPr>
          <w:p w14:paraId="12F86E83">
            <w:pPr>
              <w:widowControl/>
              <w:jc w:val="left"/>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55英寸LED 4K全高清液晶电视</w:t>
            </w:r>
          </w:p>
        </w:tc>
        <w:tc>
          <w:tcPr>
            <w:tcW w:w="406" w:type="dxa"/>
            <w:noWrap w:val="0"/>
            <w:vAlign w:val="center"/>
          </w:tcPr>
          <w:p w14:paraId="26D92216">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2</w:t>
            </w:r>
          </w:p>
        </w:tc>
        <w:tc>
          <w:tcPr>
            <w:tcW w:w="406" w:type="dxa"/>
            <w:noWrap w:val="0"/>
            <w:vAlign w:val="center"/>
          </w:tcPr>
          <w:p w14:paraId="5DAA8B72">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台</w:t>
            </w:r>
          </w:p>
        </w:tc>
      </w:tr>
      <w:tr w14:paraId="42129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38546F12">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8</w:t>
            </w:r>
          </w:p>
        </w:tc>
        <w:tc>
          <w:tcPr>
            <w:tcW w:w="2184" w:type="dxa"/>
            <w:noWrap w:val="0"/>
            <w:vAlign w:val="center"/>
          </w:tcPr>
          <w:p w14:paraId="564AEACA">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电视安装支架</w:t>
            </w:r>
          </w:p>
        </w:tc>
        <w:tc>
          <w:tcPr>
            <w:tcW w:w="5120" w:type="dxa"/>
            <w:noWrap w:val="0"/>
            <w:vAlign w:val="center"/>
          </w:tcPr>
          <w:p w14:paraId="013266DB">
            <w:pPr>
              <w:widowControl/>
              <w:jc w:val="left"/>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显示设备安装支架，可左右180°调整朝向。</w:t>
            </w:r>
          </w:p>
        </w:tc>
        <w:tc>
          <w:tcPr>
            <w:tcW w:w="406" w:type="dxa"/>
            <w:noWrap w:val="0"/>
            <w:vAlign w:val="center"/>
          </w:tcPr>
          <w:p w14:paraId="386649FD">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2</w:t>
            </w:r>
          </w:p>
        </w:tc>
        <w:tc>
          <w:tcPr>
            <w:tcW w:w="406" w:type="dxa"/>
            <w:noWrap w:val="0"/>
            <w:vAlign w:val="center"/>
          </w:tcPr>
          <w:p w14:paraId="24E15EF7">
            <w:pPr>
              <w:widowControl/>
              <w:jc w:val="center"/>
              <w:textAlignment w:val="center"/>
              <w:rPr>
                <w:rFonts w:hint="eastAsia" w:ascii="宋体" w:hAnsi="宋体" w:eastAsia="宋体" w:cs="宋体"/>
                <w:bCs/>
                <w:color w:val="auto"/>
                <w:sz w:val="24"/>
                <w:szCs w:val="24"/>
              </w:rPr>
            </w:pPr>
            <w:r>
              <w:rPr>
                <w:rFonts w:hint="eastAsia" w:ascii="宋体" w:hAnsi="宋体" w:eastAsia="宋体" w:cs="宋体"/>
                <w:color w:val="auto"/>
                <w:kern w:val="0"/>
                <w:sz w:val="24"/>
                <w:szCs w:val="24"/>
                <w:lang w:bidi="ar"/>
              </w:rPr>
              <w:t>套</w:t>
            </w:r>
          </w:p>
        </w:tc>
      </w:tr>
      <w:tr w14:paraId="2E4D9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7DFA496B">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五</w:t>
            </w:r>
          </w:p>
        </w:tc>
        <w:tc>
          <w:tcPr>
            <w:tcW w:w="2184" w:type="dxa"/>
            <w:noWrap w:val="0"/>
            <w:vAlign w:val="center"/>
          </w:tcPr>
          <w:p w14:paraId="02B89F9C">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其他配套</w:t>
            </w:r>
          </w:p>
        </w:tc>
        <w:tc>
          <w:tcPr>
            <w:tcW w:w="5120" w:type="dxa"/>
            <w:noWrap w:val="0"/>
            <w:vAlign w:val="center"/>
          </w:tcPr>
          <w:p w14:paraId="6BB5B5E3">
            <w:pPr>
              <w:widowControl/>
              <w:jc w:val="left"/>
              <w:textAlignment w:val="center"/>
              <w:rPr>
                <w:rFonts w:hint="eastAsia" w:ascii="宋体" w:hAnsi="宋体" w:eastAsia="宋体" w:cs="宋体"/>
                <w:color w:val="auto"/>
                <w:kern w:val="0"/>
                <w:sz w:val="24"/>
                <w:szCs w:val="24"/>
                <w:lang w:bidi="ar"/>
              </w:rPr>
            </w:pPr>
          </w:p>
        </w:tc>
        <w:tc>
          <w:tcPr>
            <w:tcW w:w="406" w:type="dxa"/>
            <w:noWrap w:val="0"/>
            <w:vAlign w:val="center"/>
          </w:tcPr>
          <w:p w14:paraId="13BB2EB0">
            <w:pPr>
              <w:widowControl/>
              <w:jc w:val="center"/>
              <w:textAlignment w:val="center"/>
              <w:rPr>
                <w:rFonts w:hint="eastAsia" w:ascii="宋体" w:hAnsi="宋体" w:eastAsia="宋体" w:cs="宋体"/>
                <w:color w:val="auto"/>
                <w:kern w:val="0"/>
                <w:sz w:val="24"/>
                <w:szCs w:val="24"/>
                <w:lang w:bidi="ar"/>
              </w:rPr>
            </w:pPr>
          </w:p>
        </w:tc>
        <w:tc>
          <w:tcPr>
            <w:tcW w:w="406" w:type="dxa"/>
            <w:noWrap w:val="0"/>
            <w:vAlign w:val="center"/>
          </w:tcPr>
          <w:p w14:paraId="0070B48F">
            <w:pPr>
              <w:widowControl/>
              <w:jc w:val="center"/>
              <w:textAlignment w:val="center"/>
              <w:rPr>
                <w:rFonts w:hint="eastAsia" w:ascii="宋体" w:hAnsi="宋体" w:eastAsia="宋体" w:cs="宋体"/>
                <w:color w:val="auto"/>
                <w:kern w:val="0"/>
                <w:sz w:val="24"/>
                <w:szCs w:val="24"/>
                <w:lang w:bidi="ar"/>
              </w:rPr>
            </w:pPr>
          </w:p>
        </w:tc>
      </w:tr>
      <w:tr w14:paraId="22900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742539AB">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w:t>
            </w:r>
          </w:p>
        </w:tc>
        <w:tc>
          <w:tcPr>
            <w:tcW w:w="2184" w:type="dxa"/>
            <w:noWrap w:val="0"/>
            <w:vAlign w:val="center"/>
          </w:tcPr>
          <w:p w14:paraId="45EB4A07">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专业功放</w:t>
            </w:r>
          </w:p>
        </w:tc>
        <w:tc>
          <w:tcPr>
            <w:tcW w:w="5120" w:type="dxa"/>
            <w:noWrap w:val="0"/>
            <w:vAlign w:val="center"/>
          </w:tcPr>
          <w:p w14:paraId="5D353430">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支持平衡输入，功率为2×210瓦</w:t>
            </w:r>
          </w:p>
        </w:tc>
        <w:tc>
          <w:tcPr>
            <w:tcW w:w="406" w:type="dxa"/>
            <w:noWrap w:val="0"/>
            <w:vAlign w:val="center"/>
          </w:tcPr>
          <w:p w14:paraId="16C03D27">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w:t>
            </w:r>
          </w:p>
        </w:tc>
        <w:tc>
          <w:tcPr>
            <w:tcW w:w="406" w:type="dxa"/>
            <w:noWrap w:val="0"/>
            <w:vAlign w:val="center"/>
          </w:tcPr>
          <w:p w14:paraId="27FCFAC5">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台</w:t>
            </w:r>
          </w:p>
        </w:tc>
      </w:tr>
      <w:tr w14:paraId="1A32E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5B993560">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2</w:t>
            </w:r>
          </w:p>
        </w:tc>
        <w:tc>
          <w:tcPr>
            <w:tcW w:w="2184" w:type="dxa"/>
            <w:noWrap w:val="0"/>
            <w:vAlign w:val="center"/>
          </w:tcPr>
          <w:p w14:paraId="138F83F6">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扩声音箱</w:t>
            </w:r>
          </w:p>
        </w:tc>
        <w:tc>
          <w:tcPr>
            <w:tcW w:w="5120" w:type="dxa"/>
            <w:noWrap w:val="0"/>
            <w:vAlign w:val="center"/>
          </w:tcPr>
          <w:p w14:paraId="4C0B607F">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根据现场情况可选壁装、吸顶2种安装方式，高保真两分频设计，功率60瓦，定阻，标准阻抗8Ω</w:t>
            </w:r>
          </w:p>
        </w:tc>
        <w:tc>
          <w:tcPr>
            <w:tcW w:w="406" w:type="dxa"/>
            <w:noWrap w:val="0"/>
            <w:vAlign w:val="center"/>
          </w:tcPr>
          <w:p w14:paraId="3E747211">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2</w:t>
            </w:r>
          </w:p>
        </w:tc>
        <w:tc>
          <w:tcPr>
            <w:tcW w:w="406" w:type="dxa"/>
            <w:noWrap w:val="0"/>
            <w:vAlign w:val="center"/>
          </w:tcPr>
          <w:p w14:paraId="02328068">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只</w:t>
            </w:r>
          </w:p>
        </w:tc>
      </w:tr>
      <w:tr w14:paraId="7287C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0B7EEA8B">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3</w:t>
            </w:r>
          </w:p>
        </w:tc>
        <w:tc>
          <w:tcPr>
            <w:tcW w:w="2184" w:type="dxa"/>
            <w:noWrap w:val="0"/>
            <w:vAlign w:val="center"/>
          </w:tcPr>
          <w:p w14:paraId="14AE1F51">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时序电源控制器</w:t>
            </w:r>
          </w:p>
        </w:tc>
        <w:tc>
          <w:tcPr>
            <w:tcW w:w="5120" w:type="dxa"/>
            <w:noWrap w:val="0"/>
            <w:vAlign w:val="center"/>
          </w:tcPr>
          <w:p w14:paraId="3C545220">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1、电源输出通道数：8路；</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2、单通道的最大电流为10A，总输入电流容量为38A；</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3、支持TCP/IP协议和串口协议控制；</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4. 可通过面板按钮进行ID设置；</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5. 可通过面板按键对输出端口单独或全部进行控制；</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6，可通过用网口、RS232接口控制组件对设备进行控制；</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7、每路可独立设定延时时间（由1秒到15小时）；</w:t>
            </w:r>
          </w:p>
        </w:tc>
        <w:tc>
          <w:tcPr>
            <w:tcW w:w="406" w:type="dxa"/>
            <w:noWrap w:val="0"/>
            <w:vAlign w:val="center"/>
          </w:tcPr>
          <w:p w14:paraId="4BF5BB3C">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 xml:space="preserve">1 </w:t>
            </w:r>
          </w:p>
        </w:tc>
        <w:tc>
          <w:tcPr>
            <w:tcW w:w="406" w:type="dxa"/>
            <w:noWrap w:val="0"/>
            <w:vAlign w:val="center"/>
          </w:tcPr>
          <w:p w14:paraId="3011095A">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台</w:t>
            </w:r>
          </w:p>
        </w:tc>
      </w:tr>
      <w:tr w14:paraId="1360C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602D3BDF">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4</w:t>
            </w:r>
          </w:p>
        </w:tc>
        <w:tc>
          <w:tcPr>
            <w:tcW w:w="2184" w:type="dxa"/>
            <w:noWrap w:val="0"/>
            <w:vAlign w:val="center"/>
          </w:tcPr>
          <w:p w14:paraId="66669597">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网络接入设备</w:t>
            </w:r>
          </w:p>
        </w:tc>
        <w:tc>
          <w:tcPr>
            <w:tcW w:w="5120" w:type="dxa"/>
            <w:noWrap w:val="0"/>
            <w:vAlign w:val="center"/>
          </w:tcPr>
          <w:p w14:paraId="2AAF4C67">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1.交换容量：48Gbps</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2.接口数目: 24个</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3.类型: 千兆交换机</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4.传输速度: 10Mbps 100Mbps 1000Mbps</w:t>
            </w:r>
          </w:p>
        </w:tc>
        <w:tc>
          <w:tcPr>
            <w:tcW w:w="406" w:type="dxa"/>
            <w:noWrap w:val="0"/>
            <w:vAlign w:val="center"/>
          </w:tcPr>
          <w:p w14:paraId="0398E013">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 xml:space="preserve">2 </w:t>
            </w:r>
          </w:p>
        </w:tc>
        <w:tc>
          <w:tcPr>
            <w:tcW w:w="406" w:type="dxa"/>
            <w:noWrap w:val="0"/>
            <w:vAlign w:val="center"/>
          </w:tcPr>
          <w:p w14:paraId="5177B7B5">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台</w:t>
            </w:r>
          </w:p>
        </w:tc>
      </w:tr>
      <w:tr w14:paraId="308AC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3B869F09">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5</w:t>
            </w:r>
          </w:p>
        </w:tc>
        <w:tc>
          <w:tcPr>
            <w:tcW w:w="2184" w:type="dxa"/>
            <w:noWrap w:val="0"/>
            <w:vAlign w:val="center"/>
          </w:tcPr>
          <w:p w14:paraId="291BA70B">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机柜</w:t>
            </w:r>
          </w:p>
        </w:tc>
        <w:tc>
          <w:tcPr>
            <w:tcW w:w="5120" w:type="dxa"/>
            <w:noWrap w:val="0"/>
            <w:vAlign w:val="center"/>
          </w:tcPr>
          <w:p w14:paraId="7B20796E">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1、机柜容量22U；深度600；标准IEC297-2 (19英寸)，标准公制或ETSI ，顶部风扇；</w:t>
            </w:r>
          </w:p>
        </w:tc>
        <w:tc>
          <w:tcPr>
            <w:tcW w:w="406" w:type="dxa"/>
            <w:noWrap w:val="0"/>
            <w:vAlign w:val="center"/>
          </w:tcPr>
          <w:p w14:paraId="016E02E6">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 xml:space="preserve">1 </w:t>
            </w:r>
          </w:p>
        </w:tc>
        <w:tc>
          <w:tcPr>
            <w:tcW w:w="406" w:type="dxa"/>
            <w:noWrap w:val="0"/>
            <w:vAlign w:val="center"/>
          </w:tcPr>
          <w:p w14:paraId="4049392C">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台</w:t>
            </w:r>
          </w:p>
        </w:tc>
      </w:tr>
      <w:tr w14:paraId="04A47749">
        <w:tblPrEx>
          <w:tblCellMar>
            <w:top w:w="0" w:type="dxa"/>
            <w:left w:w="108" w:type="dxa"/>
            <w:bottom w:w="0" w:type="dxa"/>
            <w:right w:w="108" w:type="dxa"/>
          </w:tblCellMar>
        </w:tblPrEx>
        <w:trPr>
          <w:jc w:val="center"/>
        </w:trPr>
        <w:tc>
          <w:tcPr>
            <w:tcW w:w="406" w:type="dxa"/>
            <w:noWrap w:val="0"/>
            <w:vAlign w:val="center"/>
          </w:tcPr>
          <w:p w14:paraId="21E467A5">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6</w:t>
            </w:r>
          </w:p>
        </w:tc>
        <w:tc>
          <w:tcPr>
            <w:tcW w:w="2184" w:type="dxa"/>
            <w:noWrap w:val="0"/>
            <w:vAlign w:val="center"/>
          </w:tcPr>
          <w:p w14:paraId="3028A67D">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庭审公告屏</w:t>
            </w:r>
          </w:p>
        </w:tc>
        <w:tc>
          <w:tcPr>
            <w:tcW w:w="5120" w:type="dxa"/>
            <w:noWrap w:val="0"/>
            <w:vAlign w:val="center"/>
          </w:tcPr>
          <w:p w14:paraId="47F7BA31">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面板尺寸：21.5英寸</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显示比例：16:9</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背光类型：LED</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 xml:space="preserve">刷新频率：60Hz </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亮度：450 cd/m²</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对比度：1500:1</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信号接口类型：LVDS，LAN×1，USB2.0×2，TFCard×1，AUDIO OUT×1</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最佳分辨率：1920*1080</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处理器：瑞芯微</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存储：2G+16G</w:t>
            </w:r>
            <w:r>
              <w:rPr>
                <w:rFonts w:hint="eastAsia" w:ascii="宋体" w:hAnsi="宋体" w:eastAsia="宋体" w:cs="宋体"/>
                <w:color w:val="auto"/>
                <w:kern w:val="0"/>
                <w:sz w:val="24"/>
                <w:szCs w:val="24"/>
                <w:lang w:bidi="ar"/>
              </w:rPr>
              <w:br w:type="textWrapping"/>
            </w:r>
            <w:r>
              <w:rPr>
                <w:rFonts w:hint="eastAsia" w:ascii="宋体" w:hAnsi="宋体" w:eastAsia="宋体" w:cs="宋体"/>
                <w:color w:val="auto"/>
                <w:kern w:val="0"/>
                <w:sz w:val="24"/>
                <w:szCs w:val="24"/>
                <w:lang w:bidi="ar"/>
              </w:rPr>
              <w:t>操作系统：安卓</w:t>
            </w:r>
          </w:p>
        </w:tc>
        <w:tc>
          <w:tcPr>
            <w:tcW w:w="406" w:type="dxa"/>
            <w:noWrap w:val="0"/>
            <w:vAlign w:val="center"/>
          </w:tcPr>
          <w:p w14:paraId="288DEC88">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 xml:space="preserve">1 </w:t>
            </w:r>
          </w:p>
        </w:tc>
        <w:tc>
          <w:tcPr>
            <w:tcW w:w="406" w:type="dxa"/>
            <w:noWrap w:val="0"/>
            <w:vAlign w:val="center"/>
          </w:tcPr>
          <w:p w14:paraId="420A5D51">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台</w:t>
            </w:r>
          </w:p>
        </w:tc>
      </w:tr>
      <w:tr w14:paraId="6D1C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4AD2D019">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7</w:t>
            </w:r>
          </w:p>
        </w:tc>
        <w:tc>
          <w:tcPr>
            <w:tcW w:w="2184" w:type="dxa"/>
            <w:noWrap w:val="0"/>
            <w:vAlign w:val="center"/>
          </w:tcPr>
          <w:p w14:paraId="4147A6E1">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布线材料</w:t>
            </w:r>
          </w:p>
        </w:tc>
        <w:tc>
          <w:tcPr>
            <w:tcW w:w="5120" w:type="dxa"/>
            <w:noWrap w:val="0"/>
            <w:vAlign w:val="center"/>
          </w:tcPr>
          <w:p w14:paraId="626152EB">
            <w:pPr>
              <w:widowControl/>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包括法庭内部的音视频、网络、控制、电源等线缆，以及摄像机支架、接头、管槽、辅材等</w:t>
            </w:r>
          </w:p>
        </w:tc>
        <w:tc>
          <w:tcPr>
            <w:tcW w:w="406" w:type="dxa"/>
            <w:noWrap w:val="0"/>
            <w:vAlign w:val="center"/>
          </w:tcPr>
          <w:p w14:paraId="777AEAEC">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w:t>
            </w:r>
          </w:p>
        </w:tc>
        <w:tc>
          <w:tcPr>
            <w:tcW w:w="406" w:type="dxa"/>
            <w:noWrap w:val="0"/>
            <w:vAlign w:val="center"/>
          </w:tcPr>
          <w:p w14:paraId="52E43035">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批</w:t>
            </w:r>
          </w:p>
        </w:tc>
      </w:tr>
    </w:tbl>
    <w:p w14:paraId="6B060A74">
      <w:pPr>
        <w:widowControl/>
        <w:shd w:val="clear" w:color="auto" w:fill="FFFFFF"/>
        <w:spacing w:line="360" w:lineRule="auto"/>
        <w:ind w:firstLine="482" w:firstLineChars="200"/>
        <w:jc w:val="left"/>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rPr>
        <w:t>★要求本次采购的智慧法庭系统能与全国法院“一张网”系统实现兼容对接（按全国法院办案办公平台对接标准及要求）。（提供承诺函，格式自拟）。</w:t>
      </w:r>
    </w:p>
    <w:p w14:paraId="11812E6F">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四、商务要求</w:t>
      </w:r>
    </w:p>
    <w:p w14:paraId="75682F20">
      <w:pPr>
        <w:pStyle w:val="18"/>
        <w:spacing w:line="360" w:lineRule="auto"/>
        <w:ind w:firstLineChars="20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（一）服务期限：</w:t>
      </w:r>
      <w:r>
        <w:rPr>
          <w:rFonts w:hint="eastAsia" w:ascii="宋体" w:hAnsi="宋体" w:eastAsia="宋体" w:cs="宋体"/>
          <w:color w:val="auto"/>
          <w:sz w:val="24"/>
          <w:szCs w:val="24"/>
        </w:rPr>
        <w:t>合同期限3年。</w:t>
      </w:r>
    </w:p>
    <w:p w14:paraId="751CA6C9">
      <w:pPr>
        <w:pStyle w:val="18"/>
        <w:spacing w:line="360" w:lineRule="auto"/>
        <w:ind w:firstLineChars="20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（二）交付时间：</w:t>
      </w:r>
      <w:bookmarkStart w:id="0" w:name="_Toc32156"/>
      <w:bookmarkStart w:id="1" w:name="_Toc28873"/>
      <w:bookmarkStart w:id="2" w:name="_Toc25791"/>
      <w:r>
        <w:rPr>
          <w:rFonts w:hint="eastAsia" w:ascii="宋体" w:hAnsi="宋体" w:eastAsia="宋体" w:cs="宋体"/>
          <w:color w:val="auto"/>
          <w:kern w:val="2"/>
          <w:sz w:val="24"/>
          <w:szCs w:val="24"/>
        </w:rPr>
        <w:t>自合同签订后</w:t>
      </w:r>
      <w:r>
        <w:rPr>
          <w:rFonts w:hint="eastAsia" w:ascii="宋体" w:hAnsi="宋体" w:eastAsia="宋体" w:cs="宋体"/>
          <w:color w:val="auto"/>
          <w:sz w:val="24"/>
          <w:szCs w:val="24"/>
        </w:rPr>
        <w:t>20</w:t>
      </w:r>
      <w:r>
        <w:rPr>
          <w:rFonts w:hint="eastAsia" w:ascii="宋体" w:hAnsi="宋体" w:eastAsia="宋体" w:cs="宋体"/>
          <w:color w:val="auto"/>
          <w:kern w:val="2"/>
          <w:sz w:val="24"/>
          <w:szCs w:val="24"/>
        </w:rPr>
        <w:t>个工作日内，成交供应商按合同内容交付给采购人使用。</w:t>
      </w:r>
    </w:p>
    <w:bookmarkEnd w:id="0"/>
    <w:bookmarkEnd w:id="1"/>
    <w:bookmarkEnd w:id="2"/>
    <w:p w14:paraId="4A3DF6AB">
      <w:pPr>
        <w:pStyle w:val="18"/>
        <w:spacing w:line="360" w:lineRule="auto"/>
        <w:ind w:left="420" w:firstLine="0"/>
        <w:rPr>
          <w:rFonts w:hint="eastAsia" w:ascii="宋体" w:hAnsi="宋体" w:eastAsia="宋体" w:cs="宋体"/>
          <w:color w:val="auto"/>
          <w:sz w:val="24"/>
          <w:szCs w:val="24"/>
        </w:rPr>
      </w:pPr>
      <w:bookmarkStart w:id="3" w:name="_Toc13181"/>
      <w:bookmarkStart w:id="4" w:name="_Toc9499"/>
      <w:bookmarkStart w:id="5" w:name="_Toc1420"/>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w:t>
      </w:r>
      <w:bookmarkEnd w:id="3"/>
      <w:bookmarkEnd w:id="4"/>
      <w:bookmarkEnd w:id="5"/>
      <w:bookmarkStart w:id="6" w:name="_Toc19154"/>
      <w:r>
        <w:rPr>
          <w:rFonts w:hint="eastAsia" w:ascii="宋体" w:hAnsi="宋体" w:eastAsia="宋体" w:cs="宋体"/>
          <w:color w:val="auto"/>
          <w:sz w:val="24"/>
          <w:szCs w:val="24"/>
        </w:rPr>
        <w:t>售后服务要求</w:t>
      </w:r>
      <w:bookmarkEnd w:id="6"/>
      <w:r>
        <w:rPr>
          <w:rFonts w:hint="eastAsia" w:ascii="宋体" w:hAnsi="宋体" w:eastAsia="宋体" w:cs="宋体"/>
          <w:color w:val="auto"/>
          <w:sz w:val="24"/>
          <w:szCs w:val="24"/>
        </w:rPr>
        <w:t>：</w:t>
      </w:r>
      <w:bookmarkStart w:id="7" w:name="_Toc13225"/>
    </w:p>
    <w:p w14:paraId="2DAF00B5">
      <w:pPr>
        <w:pStyle w:val="16"/>
        <w:numPr>
          <w:ilvl w:val="0"/>
          <w:numId w:val="3"/>
        </w:numPr>
        <w:spacing w:line="360" w:lineRule="auto"/>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成交供应商应按照国家有关法律、法规、规章和“三包”规定以及响应承诺提供售后服务。售后服务及保修条件不得低于国家和行业主管部门制定的有关标准。</w:t>
      </w:r>
    </w:p>
    <w:p w14:paraId="59AB5953">
      <w:pPr>
        <w:pStyle w:val="16"/>
        <w:numPr>
          <w:ilvl w:val="0"/>
          <w:numId w:val="3"/>
        </w:numPr>
        <w:spacing w:line="360" w:lineRule="auto"/>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所有耗材产品均需按生产厂商规定的保修期提供免费保修服务。 </w:t>
      </w:r>
    </w:p>
    <w:p w14:paraId="0E094C81">
      <w:pPr>
        <w:pStyle w:val="16"/>
        <w:numPr>
          <w:ilvl w:val="0"/>
          <w:numId w:val="3"/>
        </w:numPr>
        <w:spacing w:line="360" w:lineRule="auto"/>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年度满意度考核：自合同签订期每满一年时，采购人根据成交供应商提供的租赁服务质量以及售后等，填写《供应商租赁服务年度满意度考核表》（见附件），供应商年度满意度考核未达到合格标准的，采购人有权取消成交供应商的服务资格，一切责任由成交供应商承担。</w:t>
      </w:r>
      <w:r>
        <w:rPr>
          <w:rFonts w:hint="eastAsia" w:ascii="宋体" w:hAnsi="宋体" w:eastAsia="宋体" w:cs="宋体"/>
          <w:b/>
          <w:bCs/>
          <w:color w:val="auto"/>
          <w:sz w:val="24"/>
          <w:szCs w:val="24"/>
        </w:rPr>
        <w:t>（成交供应商须提供承诺书，格式自拟）</w:t>
      </w:r>
    </w:p>
    <w:p w14:paraId="30D924E5">
      <w:pPr>
        <w:pStyle w:val="16"/>
        <w:numPr>
          <w:ilvl w:val="0"/>
          <w:numId w:val="3"/>
        </w:numPr>
        <w:spacing w:line="360" w:lineRule="auto"/>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成交供应商应提供全年365天，每周7*24小时的售后服务，成交供应商应配合采购人的工作安排，收到采购人报修电话后需15分钟内电话响应，报修后2小时内技术服务人员到达采购人故障设备所在地进行修复，技术服务人员不能在4小时内修复时，应马上安排其他技术服务人员上门维修，直至设备完全正常运行为止。</w:t>
      </w:r>
    </w:p>
    <w:p w14:paraId="55BDCC9B">
      <w:pPr>
        <w:pStyle w:val="16"/>
        <w:numPr>
          <w:ilvl w:val="0"/>
          <w:numId w:val="3"/>
        </w:numPr>
        <w:spacing w:line="360" w:lineRule="auto"/>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重要庭审或特殊情况下，供应商应响应采购人的需求，安排驻场技术服务人员24小时现场待命。（需提供承诺函）</w:t>
      </w:r>
    </w:p>
    <w:p w14:paraId="5C91B1BD">
      <w:pPr>
        <w:pStyle w:val="16"/>
        <w:numPr>
          <w:ilvl w:val="0"/>
          <w:numId w:val="3"/>
        </w:numPr>
        <w:spacing w:line="360" w:lineRule="auto"/>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成交供应商提供以上基本服务的费用应己全部计入产品采购的报价中，成交供应商不得再向采购人收取任何费用。</w:t>
      </w:r>
      <w:bookmarkEnd w:id="7"/>
    </w:p>
    <w:p w14:paraId="25CA34AD">
      <w:pPr>
        <w:pStyle w:val="10"/>
        <w:ind w:left="0"/>
        <w:rPr>
          <w:rFonts w:hint="eastAsia" w:ascii="宋体" w:hAnsi="宋体" w:eastAsia="宋体" w:cs="宋体"/>
          <w:color w:val="auto"/>
          <w:kern w:val="0"/>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rPr>
        <w:t>）</w:t>
      </w:r>
      <w:r>
        <w:rPr>
          <w:rFonts w:hint="eastAsia" w:ascii="宋体" w:hAnsi="宋体" w:eastAsia="宋体" w:cs="宋体"/>
          <w:color w:val="auto"/>
          <w:kern w:val="0"/>
          <w:sz w:val="24"/>
          <w:szCs w:val="24"/>
        </w:rPr>
        <w:t>付款方式和条件：</w:t>
      </w:r>
    </w:p>
    <w:p w14:paraId="2B273D39">
      <w:pPr>
        <w:pStyle w:val="16"/>
        <w:numPr>
          <w:ilvl w:val="0"/>
          <w:numId w:val="4"/>
        </w:numPr>
        <w:spacing w:line="360" w:lineRule="auto"/>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自项目验收之日起15个工作日内，成交供应商向采购人开具合法有效发票后，采购人支付第一年的合同金额（以省高院批复金额为准），在服务期限满一年后，成交供应商通过年度满意度考核后支付下一年的合同金额，以此类推。3年内结清所有费用。</w:t>
      </w:r>
    </w:p>
    <w:p w14:paraId="6F38D8AD">
      <w:pPr>
        <w:pStyle w:val="16"/>
        <w:numPr>
          <w:ilvl w:val="0"/>
          <w:numId w:val="4"/>
        </w:numPr>
        <w:spacing w:line="360" w:lineRule="auto"/>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结算方式：转账结算（银行转账）。 </w:t>
      </w:r>
    </w:p>
    <w:p w14:paraId="29FC11AC">
      <w:pPr>
        <w:pStyle w:val="16"/>
        <w:numPr>
          <w:ilvl w:val="0"/>
          <w:numId w:val="4"/>
        </w:numPr>
        <w:spacing w:line="360" w:lineRule="auto"/>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成交供应商凭以下有效文件与采购人结算： </w:t>
      </w:r>
    </w:p>
    <w:p w14:paraId="74D53723">
      <w:pPr>
        <w:pStyle w:val="18"/>
        <w:spacing w:line="360" w:lineRule="auto"/>
        <w:ind w:left="42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rPr>
        <w:t xml:space="preserve">（1）合同。 </w:t>
      </w:r>
    </w:p>
    <w:p w14:paraId="64AFA632">
      <w:pPr>
        <w:pStyle w:val="18"/>
        <w:spacing w:line="360" w:lineRule="auto"/>
        <w:ind w:left="42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rPr>
        <w:t xml:space="preserve">（2）成交供应商开具的正式发票：成交供应商收款时必须持有效发票。收款方、出具发票方、合同乙方均必须与成交供应商名称一致。 </w:t>
      </w:r>
    </w:p>
    <w:p w14:paraId="748B9BE8">
      <w:pPr>
        <w:pStyle w:val="18"/>
        <w:spacing w:line="360" w:lineRule="auto"/>
        <w:ind w:left="42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rPr>
        <w:t>（3）验收报告</w:t>
      </w:r>
    </w:p>
    <w:p w14:paraId="2B2F5B97">
      <w:pPr>
        <w:pStyle w:val="18"/>
        <w:spacing w:line="360" w:lineRule="auto"/>
        <w:ind w:left="42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kern w:val="2"/>
          <w:sz w:val="24"/>
          <w:szCs w:val="24"/>
        </w:rPr>
        <w:t>《供应商租赁服务年度满意度考核表》（如有）</w:t>
      </w:r>
      <w:r>
        <w:rPr>
          <w:rFonts w:hint="eastAsia" w:ascii="宋体" w:hAnsi="宋体" w:eastAsia="宋体" w:cs="宋体"/>
          <w:color w:val="auto"/>
          <w:sz w:val="24"/>
          <w:szCs w:val="24"/>
        </w:rPr>
        <w:t>。</w:t>
      </w:r>
    </w:p>
    <w:p w14:paraId="34B8573A">
      <w:pPr>
        <w:pStyle w:val="16"/>
        <w:numPr>
          <w:ilvl w:val="0"/>
          <w:numId w:val="4"/>
        </w:numPr>
        <w:spacing w:line="360" w:lineRule="auto"/>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因采购人使用的是财政资金，采购人在前款规定的付款时间为向政府采购支付部门提出办理财政支付申请手续的时间（不含政府财政支付部门审核的时间），在规定时间内提出支付申请手续后即视为采购人已经按期支付。 </w:t>
      </w:r>
    </w:p>
    <w:p w14:paraId="4DD0666C">
      <w:pPr>
        <w:pStyle w:val="16"/>
        <w:numPr>
          <w:ilvl w:val="0"/>
          <w:numId w:val="4"/>
        </w:numPr>
        <w:spacing w:line="360" w:lineRule="auto"/>
        <w:ind w:left="420" w:leftChars="200"/>
        <w:rPr>
          <w:rFonts w:hint="eastAsia" w:ascii="宋体" w:hAnsi="宋体" w:eastAsia="宋体" w:cs="宋体"/>
          <w:color w:val="auto"/>
          <w:sz w:val="24"/>
          <w:szCs w:val="24"/>
        </w:rPr>
      </w:pPr>
      <w:r>
        <w:rPr>
          <w:rFonts w:hint="eastAsia" w:ascii="宋体" w:hAnsi="宋体" w:eastAsia="宋体" w:cs="宋体"/>
          <w:color w:val="auto"/>
          <w:sz w:val="24"/>
          <w:szCs w:val="24"/>
        </w:rPr>
        <w:t>付款期间如因特殊情况需调整，由双方协商处理。</w:t>
      </w:r>
    </w:p>
    <w:p w14:paraId="43B26F87">
      <w:pPr>
        <w:keepNext/>
        <w:spacing w:line="360" w:lineRule="auto"/>
        <w:rPr>
          <w:rFonts w:hint="eastAsia" w:ascii="宋体" w:hAnsi="宋体" w:eastAsia="宋体" w:cs="宋体"/>
          <w:b/>
          <w:bCs/>
          <w:color w:val="auto"/>
          <w:sz w:val="24"/>
          <w:szCs w:val="24"/>
        </w:rPr>
      </w:pPr>
    </w:p>
    <w:p w14:paraId="3C35160D">
      <w:pPr>
        <w:keepNext/>
        <w:spacing w:line="360" w:lineRule="auto"/>
        <w:rPr>
          <w:rFonts w:hint="eastAsia" w:ascii="宋体" w:hAnsi="宋体" w:eastAsia="宋体" w:cs="宋体"/>
          <w:b/>
          <w:bCs/>
          <w:color w:val="auto"/>
          <w:sz w:val="24"/>
          <w:szCs w:val="24"/>
        </w:rPr>
      </w:pPr>
    </w:p>
    <w:p w14:paraId="72B4CA00">
      <w:pPr>
        <w:keepNext/>
        <w:pageBreakBefore/>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五、附件：《供应商租赁服务年度满意度考核表》</w:t>
      </w:r>
    </w:p>
    <w:p w14:paraId="72582F87">
      <w:pPr>
        <w:spacing w:line="360" w:lineRule="auto"/>
        <w:jc w:val="center"/>
        <w:rPr>
          <w:rFonts w:hint="eastAsia" w:ascii="宋体" w:hAnsi="宋体" w:eastAsia="宋体" w:cs="宋体"/>
          <w:color w:val="auto"/>
          <w:sz w:val="24"/>
          <w:szCs w:val="24"/>
        </w:rPr>
      </w:pPr>
    </w:p>
    <w:p w14:paraId="0A04EE01">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仁化县人民法院董塘法庭智慧法庭租赁项目</w:t>
      </w:r>
    </w:p>
    <w:p w14:paraId="64E6CB03">
      <w:pPr>
        <w:pStyle w:val="20"/>
        <w:spacing w:line="360" w:lineRule="auto"/>
        <w:rPr>
          <w:rFonts w:hint="eastAsia" w:ascii="宋体" w:hAnsi="宋体" w:eastAsia="宋体" w:cs="宋体"/>
          <w:color w:val="auto"/>
          <w:sz w:val="24"/>
          <w:szCs w:val="24"/>
        </w:rPr>
      </w:pPr>
    </w:p>
    <w:p w14:paraId="4F283909">
      <w:pPr>
        <w:spacing w:line="360" w:lineRule="auto"/>
        <w:ind w:firstLine="240" w:firstLineChars="100"/>
        <w:rPr>
          <w:rFonts w:hint="eastAsia" w:ascii="宋体" w:hAnsi="宋体" w:eastAsia="宋体" w:cs="宋体"/>
          <w:color w:val="auto"/>
          <w:sz w:val="24"/>
          <w:szCs w:val="24"/>
          <w:u w:val="single"/>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时间：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76"/>
        <w:gridCol w:w="1993"/>
        <w:gridCol w:w="2648"/>
        <w:gridCol w:w="2661"/>
      </w:tblGrid>
      <w:tr w14:paraId="7FB0C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pct"/>
            <w:vMerge w:val="restart"/>
            <w:noWrap w:val="0"/>
            <w:vAlign w:val="center"/>
          </w:tcPr>
          <w:p w14:paraId="51DE9F1C">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产品名称</w:t>
            </w:r>
          </w:p>
        </w:tc>
        <w:tc>
          <w:tcPr>
            <w:tcW w:w="3418" w:type="pct"/>
            <w:gridSpan w:val="3"/>
            <w:noWrap w:val="0"/>
            <w:vAlign w:val="top"/>
          </w:tcPr>
          <w:p w14:paraId="41165D40">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总体评价</w:t>
            </w:r>
          </w:p>
        </w:tc>
      </w:tr>
      <w:tr w14:paraId="25C9B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pct"/>
            <w:vMerge w:val="continue"/>
            <w:noWrap w:val="0"/>
            <w:vAlign w:val="top"/>
          </w:tcPr>
          <w:p w14:paraId="11424CDF">
            <w:pPr>
              <w:spacing w:line="360" w:lineRule="auto"/>
              <w:rPr>
                <w:rFonts w:hint="eastAsia" w:ascii="宋体" w:hAnsi="宋体" w:eastAsia="宋体" w:cs="宋体"/>
                <w:color w:val="auto"/>
                <w:sz w:val="24"/>
                <w:szCs w:val="24"/>
              </w:rPr>
            </w:pPr>
          </w:p>
        </w:tc>
        <w:tc>
          <w:tcPr>
            <w:tcW w:w="933" w:type="pct"/>
            <w:noWrap w:val="0"/>
            <w:vAlign w:val="top"/>
          </w:tcPr>
          <w:p w14:paraId="3B028851">
            <w:pP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非常满意</w:t>
            </w:r>
          </w:p>
        </w:tc>
        <w:tc>
          <w:tcPr>
            <w:tcW w:w="1240" w:type="pct"/>
            <w:noWrap w:val="0"/>
            <w:vAlign w:val="top"/>
          </w:tcPr>
          <w:p w14:paraId="5402A4CF">
            <w:pP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满意</w:t>
            </w:r>
          </w:p>
        </w:tc>
        <w:tc>
          <w:tcPr>
            <w:tcW w:w="1244" w:type="pct"/>
            <w:noWrap w:val="0"/>
            <w:vAlign w:val="top"/>
          </w:tcPr>
          <w:p w14:paraId="7D2DDAD5">
            <w:pP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不满意</w:t>
            </w:r>
          </w:p>
        </w:tc>
      </w:tr>
      <w:tr w14:paraId="794D2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pct"/>
            <w:noWrap w:val="0"/>
            <w:vAlign w:val="top"/>
          </w:tcPr>
          <w:p w14:paraId="765FE30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一、信号采集处理系统</w:t>
            </w:r>
          </w:p>
        </w:tc>
        <w:tc>
          <w:tcPr>
            <w:tcW w:w="933" w:type="pct"/>
            <w:noWrap w:val="0"/>
            <w:vAlign w:val="top"/>
          </w:tcPr>
          <w:p w14:paraId="523D89CD">
            <w:pPr>
              <w:spacing w:line="360" w:lineRule="auto"/>
              <w:rPr>
                <w:rFonts w:hint="eastAsia" w:ascii="宋体" w:hAnsi="宋体" w:eastAsia="宋体" w:cs="宋体"/>
                <w:color w:val="auto"/>
                <w:sz w:val="24"/>
                <w:szCs w:val="24"/>
              </w:rPr>
            </w:pPr>
          </w:p>
        </w:tc>
        <w:tc>
          <w:tcPr>
            <w:tcW w:w="1240" w:type="pct"/>
            <w:noWrap w:val="0"/>
            <w:vAlign w:val="top"/>
          </w:tcPr>
          <w:p w14:paraId="51BBE205">
            <w:pPr>
              <w:spacing w:line="360" w:lineRule="auto"/>
              <w:rPr>
                <w:rFonts w:hint="eastAsia" w:ascii="宋体" w:hAnsi="宋体" w:eastAsia="宋体" w:cs="宋体"/>
                <w:color w:val="auto"/>
                <w:sz w:val="24"/>
                <w:szCs w:val="24"/>
              </w:rPr>
            </w:pPr>
          </w:p>
        </w:tc>
        <w:tc>
          <w:tcPr>
            <w:tcW w:w="1244" w:type="pct"/>
            <w:noWrap w:val="0"/>
            <w:vAlign w:val="top"/>
          </w:tcPr>
          <w:p w14:paraId="648E15E6">
            <w:pPr>
              <w:spacing w:line="360" w:lineRule="auto"/>
              <w:rPr>
                <w:rFonts w:hint="eastAsia" w:ascii="宋体" w:hAnsi="宋体" w:eastAsia="宋体" w:cs="宋体"/>
                <w:color w:val="auto"/>
                <w:sz w:val="24"/>
                <w:szCs w:val="24"/>
              </w:rPr>
            </w:pPr>
          </w:p>
        </w:tc>
      </w:tr>
      <w:tr w14:paraId="47353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pct"/>
            <w:noWrap w:val="0"/>
            <w:vAlign w:val="top"/>
          </w:tcPr>
          <w:p w14:paraId="04F0310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二、智能语音转写系统</w:t>
            </w:r>
          </w:p>
        </w:tc>
        <w:tc>
          <w:tcPr>
            <w:tcW w:w="933" w:type="pct"/>
            <w:noWrap w:val="0"/>
            <w:vAlign w:val="top"/>
          </w:tcPr>
          <w:p w14:paraId="69BA2BC3">
            <w:pPr>
              <w:spacing w:line="360" w:lineRule="auto"/>
              <w:rPr>
                <w:rFonts w:hint="eastAsia" w:ascii="宋体" w:hAnsi="宋体" w:eastAsia="宋体" w:cs="宋体"/>
                <w:color w:val="auto"/>
                <w:sz w:val="24"/>
                <w:szCs w:val="24"/>
              </w:rPr>
            </w:pPr>
          </w:p>
        </w:tc>
        <w:tc>
          <w:tcPr>
            <w:tcW w:w="1240" w:type="pct"/>
            <w:noWrap w:val="0"/>
            <w:vAlign w:val="top"/>
          </w:tcPr>
          <w:p w14:paraId="617AF8DB">
            <w:pPr>
              <w:spacing w:line="360" w:lineRule="auto"/>
              <w:rPr>
                <w:rFonts w:hint="eastAsia" w:ascii="宋体" w:hAnsi="宋体" w:eastAsia="宋体" w:cs="宋体"/>
                <w:color w:val="auto"/>
                <w:sz w:val="24"/>
                <w:szCs w:val="24"/>
              </w:rPr>
            </w:pPr>
          </w:p>
        </w:tc>
        <w:tc>
          <w:tcPr>
            <w:tcW w:w="1244" w:type="pct"/>
            <w:noWrap w:val="0"/>
            <w:vAlign w:val="top"/>
          </w:tcPr>
          <w:p w14:paraId="1F41C77B">
            <w:pPr>
              <w:spacing w:line="360" w:lineRule="auto"/>
              <w:rPr>
                <w:rFonts w:hint="eastAsia" w:ascii="宋体" w:hAnsi="宋体" w:eastAsia="宋体" w:cs="宋体"/>
                <w:color w:val="auto"/>
                <w:sz w:val="24"/>
                <w:szCs w:val="24"/>
              </w:rPr>
            </w:pPr>
          </w:p>
        </w:tc>
      </w:tr>
      <w:tr w14:paraId="2EA17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pct"/>
            <w:noWrap w:val="0"/>
            <w:vAlign w:val="top"/>
          </w:tcPr>
          <w:p w14:paraId="28C622D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三、互联网庭审系统</w:t>
            </w:r>
          </w:p>
        </w:tc>
        <w:tc>
          <w:tcPr>
            <w:tcW w:w="933" w:type="pct"/>
            <w:noWrap w:val="0"/>
            <w:vAlign w:val="top"/>
          </w:tcPr>
          <w:p w14:paraId="0BADE5FD">
            <w:pPr>
              <w:spacing w:line="360" w:lineRule="auto"/>
              <w:rPr>
                <w:rFonts w:hint="eastAsia" w:ascii="宋体" w:hAnsi="宋体" w:eastAsia="宋体" w:cs="宋体"/>
                <w:color w:val="auto"/>
                <w:sz w:val="24"/>
                <w:szCs w:val="24"/>
              </w:rPr>
            </w:pPr>
          </w:p>
        </w:tc>
        <w:tc>
          <w:tcPr>
            <w:tcW w:w="1240" w:type="pct"/>
            <w:noWrap w:val="0"/>
            <w:vAlign w:val="top"/>
          </w:tcPr>
          <w:p w14:paraId="368C55CC">
            <w:pPr>
              <w:spacing w:line="360" w:lineRule="auto"/>
              <w:rPr>
                <w:rFonts w:hint="eastAsia" w:ascii="宋体" w:hAnsi="宋体" w:eastAsia="宋体" w:cs="宋体"/>
                <w:color w:val="auto"/>
                <w:sz w:val="24"/>
                <w:szCs w:val="24"/>
              </w:rPr>
            </w:pPr>
          </w:p>
        </w:tc>
        <w:tc>
          <w:tcPr>
            <w:tcW w:w="1244" w:type="pct"/>
            <w:noWrap w:val="0"/>
            <w:vAlign w:val="top"/>
          </w:tcPr>
          <w:p w14:paraId="07090FBD">
            <w:pPr>
              <w:spacing w:line="360" w:lineRule="auto"/>
              <w:rPr>
                <w:rFonts w:hint="eastAsia" w:ascii="宋体" w:hAnsi="宋体" w:eastAsia="宋体" w:cs="宋体"/>
                <w:color w:val="auto"/>
                <w:sz w:val="24"/>
                <w:szCs w:val="24"/>
              </w:rPr>
            </w:pPr>
          </w:p>
        </w:tc>
      </w:tr>
      <w:tr w14:paraId="0E669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pct"/>
            <w:noWrap w:val="0"/>
            <w:vAlign w:val="top"/>
          </w:tcPr>
          <w:p w14:paraId="2BA7CDE8">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四、终端交互输入输出系统</w:t>
            </w:r>
          </w:p>
        </w:tc>
        <w:tc>
          <w:tcPr>
            <w:tcW w:w="933" w:type="pct"/>
            <w:noWrap w:val="0"/>
            <w:vAlign w:val="top"/>
          </w:tcPr>
          <w:p w14:paraId="37282601">
            <w:pPr>
              <w:spacing w:line="360" w:lineRule="auto"/>
              <w:rPr>
                <w:rFonts w:hint="eastAsia" w:ascii="宋体" w:hAnsi="宋体" w:eastAsia="宋体" w:cs="宋体"/>
                <w:color w:val="auto"/>
                <w:sz w:val="24"/>
                <w:szCs w:val="24"/>
              </w:rPr>
            </w:pPr>
          </w:p>
        </w:tc>
        <w:tc>
          <w:tcPr>
            <w:tcW w:w="1240" w:type="pct"/>
            <w:noWrap w:val="0"/>
            <w:vAlign w:val="top"/>
          </w:tcPr>
          <w:p w14:paraId="7A2C20EE">
            <w:pPr>
              <w:spacing w:line="360" w:lineRule="auto"/>
              <w:rPr>
                <w:rFonts w:hint="eastAsia" w:ascii="宋体" w:hAnsi="宋体" w:eastAsia="宋体" w:cs="宋体"/>
                <w:color w:val="auto"/>
                <w:sz w:val="24"/>
                <w:szCs w:val="24"/>
              </w:rPr>
            </w:pPr>
          </w:p>
        </w:tc>
        <w:tc>
          <w:tcPr>
            <w:tcW w:w="1244" w:type="pct"/>
            <w:noWrap w:val="0"/>
            <w:vAlign w:val="top"/>
          </w:tcPr>
          <w:p w14:paraId="1D9F0FD5">
            <w:pPr>
              <w:spacing w:line="360" w:lineRule="auto"/>
              <w:rPr>
                <w:rFonts w:hint="eastAsia" w:ascii="宋体" w:hAnsi="宋体" w:eastAsia="宋体" w:cs="宋体"/>
                <w:color w:val="auto"/>
                <w:sz w:val="24"/>
                <w:szCs w:val="24"/>
              </w:rPr>
            </w:pPr>
          </w:p>
        </w:tc>
      </w:tr>
      <w:tr w14:paraId="5A267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1" w:type="pct"/>
            <w:noWrap w:val="0"/>
            <w:vAlign w:val="top"/>
          </w:tcPr>
          <w:p w14:paraId="6BC6081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五、其他配套</w:t>
            </w:r>
          </w:p>
        </w:tc>
        <w:tc>
          <w:tcPr>
            <w:tcW w:w="933" w:type="pct"/>
            <w:noWrap w:val="0"/>
            <w:vAlign w:val="top"/>
          </w:tcPr>
          <w:p w14:paraId="15378093">
            <w:pPr>
              <w:spacing w:line="360" w:lineRule="auto"/>
              <w:rPr>
                <w:rFonts w:hint="eastAsia" w:ascii="宋体" w:hAnsi="宋体" w:eastAsia="宋体" w:cs="宋体"/>
                <w:color w:val="auto"/>
                <w:sz w:val="24"/>
                <w:szCs w:val="24"/>
              </w:rPr>
            </w:pPr>
          </w:p>
        </w:tc>
        <w:tc>
          <w:tcPr>
            <w:tcW w:w="1240" w:type="pct"/>
            <w:noWrap w:val="0"/>
            <w:vAlign w:val="top"/>
          </w:tcPr>
          <w:p w14:paraId="31AA4BAB">
            <w:pPr>
              <w:spacing w:line="360" w:lineRule="auto"/>
              <w:rPr>
                <w:rFonts w:hint="eastAsia" w:ascii="宋体" w:hAnsi="宋体" w:eastAsia="宋体" w:cs="宋体"/>
                <w:color w:val="auto"/>
                <w:sz w:val="24"/>
                <w:szCs w:val="24"/>
              </w:rPr>
            </w:pPr>
          </w:p>
        </w:tc>
        <w:tc>
          <w:tcPr>
            <w:tcW w:w="1244" w:type="pct"/>
            <w:noWrap w:val="0"/>
            <w:vAlign w:val="top"/>
          </w:tcPr>
          <w:p w14:paraId="20BDBD26">
            <w:pPr>
              <w:spacing w:line="360" w:lineRule="auto"/>
              <w:rPr>
                <w:rFonts w:hint="eastAsia" w:ascii="宋体" w:hAnsi="宋体" w:eastAsia="宋体" w:cs="宋体"/>
                <w:color w:val="auto"/>
                <w:sz w:val="24"/>
                <w:szCs w:val="24"/>
              </w:rPr>
            </w:pPr>
          </w:p>
        </w:tc>
      </w:tr>
      <w:tr w14:paraId="11599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2" w:hRule="atLeast"/>
          <w:jc w:val="center"/>
        </w:trPr>
        <w:tc>
          <w:tcPr>
            <w:tcW w:w="5000" w:type="pct"/>
            <w:gridSpan w:val="4"/>
            <w:noWrap w:val="0"/>
            <w:vAlign w:val="top"/>
          </w:tcPr>
          <w:p w14:paraId="11573772">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具体评价：</w:t>
            </w:r>
          </w:p>
          <w:p w14:paraId="440375E9">
            <w:pPr>
              <w:spacing w:line="360" w:lineRule="auto"/>
              <w:rPr>
                <w:rFonts w:hint="eastAsia" w:ascii="宋体" w:hAnsi="宋体" w:eastAsia="宋体" w:cs="宋体"/>
                <w:b/>
                <w:bCs/>
                <w:color w:val="auto"/>
                <w:sz w:val="24"/>
                <w:szCs w:val="24"/>
              </w:rPr>
            </w:pPr>
          </w:p>
          <w:p w14:paraId="7ACEB6C5">
            <w:pPr>
              <w:pStyle w:val="2"/>
              <w:rPr>
                <w:rFonts w:hint="eastAsia" w:ascii="宋体" w:hAnsi="宋体" w:eastAsia="宋体" w:cs="宋体"/>
                <w:b/>
                <w:color w:val="auto"/>
                <w:sz w:val="24"/>
                <w:szCs w:val="24"/>
              </w:rPr>
            </w:pPr>
          </w:p>
          <w:p w14:paraId="7DA30C53">
            <w:pPr>
              <w:rPr>
                <w:rFonts w:hint="eastAsia" w:ascii="宋体" w:hAnsi="宋体" w:eastAsia="宋体" w:cs="宋体"/>
                <w:color w:val="auto"/>
                <w:sz w:val="24"/>
                <w:szCs w:val="24"/>
              </w:rPr>
            </w:pPr>
          </w:p>
          <w:p w14:paraId="71E84A65">
            <w:pPr>
              <w:spacing w:line="360" w:lineRule="auto"/>
              <w:ind w:firstLine="6720" w:firstLineChars="2800"/>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盖章（公章）：                                 </w:t>
            </w:r>
          </w:p>
          <w:p w14:paraId="101D0EE1">
            <w:pPr>
              <w:spacing w:line="360" w:lineRule="auto"/>
              <w:ind w:firstLine="6720" w:firstLineChars="2800"/>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采购人签字：         </w:t>
            </w:r>
          </w:p>
        </w:tc>
      </w:tr>
    </w:tbl>
    <w:p w14:paraId="3AE25B1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说明：1、此表一式二份，自合同签订后每满一年时由成交供应商提供给采购人。</w:t>
      </w:r>
    </w:p>
    <w:p w14:paraId="45366CD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2、采购人根据成交供应商提供的租赁服务质量以及售后等情况进行评价，在相应位置“打勾”。</w:t>
      </w:r>
    </w:p>
    <w:p w14:paraId="597D932D">
      <w:pPr>
        <w:spacing w:line="520" w:lineRule="exact"/>
        <w:ind w:firstLine="720" w:firstLineChars="300"/>
        <w:rPr>
          <w:rFonts w:hint="eastAsia" w:ascii="宋体" w:hAnsi="宋体" w:eastAsia="宋体" w:cs="宋体"/>
          <w:color w:val="auto"/>
          <w:sz w:val="24"/>
          <w:szCs w:val="24"/>
        </w:rPr>
      </w:pPr>
      <w:r>
        <w:rPr>
          <w:rFonts w:hint="eastAsia" w:ascii="宋体" w:hAnsi="宋体" w:eastAsia="宋体" w:cs="宋体"/>
          <w:color w:val="auto"/>
          <w:sz w:val="24"/>
          <w:szCs w:val="24"/>
        </w:rPr>
        <w:t>3、总分共100分，出现一项不满意扣20分，扣完为止，80分或以上为合格。</w:t>
      </w:r>
    </w:p>
    <w:p w14:paraId="6A9A51E4">
      <w:pPr>
        <w:pStyle w:val="10"/>
        <w:ind w:left="0" w:firstLine="0" w:firstLineChars="0"/>
        <w:rPr>
          <w:rFonts w:hint="eastAsia" w:ascii="宋体" w:hAnsi="宋体" w:eastAsia="宋体" w:cs="宋体"/>
          <w:color w:val="auto"/>
          <w:sz w:val="21"/>
          <w:szCs w:val="21"/>
        </w:rPr>
      </w:pPr>
    </w:p>
    <w:p w14:paraId="14E6D455">
      <w:pPr>
        <w:rPr>
          <w:rFonts w:hint="eastAsia"/>
          <w:color w:val="auto"/>
        </w:rPr>
      </w:pPr>
    </w:p>
    <w:p w14:paraId="40D86F6E">
      <w:pPr>
        <w:keepNext/>
        <w:keepLines w:val="0"/>
        <w:pageBreakBefore/>
        <w:widowControl w:val="0"/>
        <w:kinsoku/>
        <w:wordWrap/>
        <w:overflowPunct/>
        <w:topLinePunct w:val="0"/>
        <w:autoSpaceDE/>
        <w:autoSpaceDN/>
        <w:bidi w:val="0"/>
        <w:adjustRightInd/>
        <w:snapToGrid/>
        <w:jc w:val="center"/>
        <w:textAlignment w:val="auto"/>
        <w:rPr>
          <w:rFonts w:hint="eastAsia" w:ascii="宋体" w:hAnsi="宋体" w:eastAsia="宋体" w:cs="宋体"/>
          <w:b/>
          <w:bCs/>
          <w:sz w:val="44"/>
          <w:szCs w:val="44"/>
        </w:rPr>
      </w:pPr>
      <w:r>
        <w:rPr>
          <w:rFonts w:hint="eastAsia" w:ascii="宋体" w:hAnsi="宋体" w:eastAsia="宋体" w:cs="宋体"/>
          <w:b/>
          <w:bCs/>
          <w:sz w:val="44"/>
          <w:szCs w:val="44"/>
        </w:rPr>
        <w:t>中小企业声明函（工程、服务）</w:t>
      </w:r>
    </w:p>
    <w:p w14:paraId="17BE8EFB">
      <w:pPr>
        <w:spacing w:line="360" w:lineRule="auto"/>
        <w:rPr>
          <w:rFonts w:hint="eastAsia" w:ascii="宋体" w:hAnsi="宋体" w:eastAsia="宋体" w:cs="宋体"/>
        </w:rPr>
      </w:pPr>
    </w:p>
    <w:p w14:paraId="4B6A88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体中的中小企业、签订分包意向协议的中小企业）的具体情况如下：</w:t>
      </w:r>
    </w:p>
    <w:p w14:paraId="7EE8710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，属于（采购文件中明确的所属行业）；承建（承接）企业为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注：</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"_bookmark0"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lang w:eastAsia="zh-CN"/>
        </w:rPr>
        <w:t>）</w:t>
      </w:r>
      <w:r>
        <w:rPr>
          <w:rFonts w:hint="eastAsia" w:ascii="宋体" w:hAnsi="宋体" w:eastAsia="宋体" w:cs="宋体"/>
          <w:sz w:val="24"/>
          <w:szCs w:val="24"/>
        </w:rPr>
        <w:t>，属于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w:t>
      </w:r>
    </w:p>
    <w:p w14:paraId="504293CA">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，属于（采购文件中明确的所属行业）；承建（承接）企业为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注：</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"_bookmark0"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lang w:eastAsia="zh-CN"/>
        </w:rPr>
        <w:t>）</w:t>
      </w:r>
      <w:r>
        <w:rPr>
          <w:rFonts w:hint="eastAsia" w:ascii="宋体" w:hAnsi="宋体" w:eastAsia="宋体" w:cs="宋体"/>
          <w:sz w:val="24"/>
          <w:szCs w:val="24"/>
        </w:rPr>
        <w:t>，属于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lang w:val="en-US" w:eastAsia="zh-CN"/>
        </w:rPr>
        <w:t>；</w:t>
      </w:r>
    </w:p>
    <w:p w14:paraId="0E1EB67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p>
    <w:p w14:paraId="1CC0C7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以上企业，不属于大企业的分支机构，不存在控股股东为大企业的情形，也不存在与大企业的负责人为同一人的情形。</w:t>
      </w:r>
    </w:p>
    <w:p w14:paraId="746E89B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本企业对上述声明内容的真实性负责。如有虚假，将依法承担相应责任。</w:t>
      </w:r>
    </w:p>
    <w:p w14:paraId="150F3FA7">
      <w:pPr>
        <w:spacing w:line="360" w:lineRule="auto"/>
        <w:rPr>
          <w:rFonts w:hint="eastAsia" w:ascii="宋体" w:hAnsi="宋体" w:eastAsia="宋体" w:cs="宋体"/>
          <w:sz w:val="24"/>
          <w:szCs w:val="24"/>
        </w:rPr>
      </w:pPr>
    </w:p>
    <w:p w14:paraId="4D794FEE">
      <w:pPr>
        <w:spacing w:line="360" w:lineRule="auto"/>
        <w:ind w:firstLine="5760" w:firstLineChars="2400"/>
        <w:rPr>
          <w:rFonts w:hint="default" w:ascii="宋体" w:hAnsi="宋体" w:eastAsia="宋体" w:cs="宋体"/>
          <w:sz w:val="24"/>
          <w:szCs w:val="24"/>
          <w:lang w:val="en-US" w:eastAsia="zh-CN"/>
        </w:rPr>
      </w:pPr>
      <w:r>
        <w:rPr>
          <w:rFonts w:hint="eastAsia" w:ascii="宋体" w:hAnsi="宋体" w:eastAsia="宋体" w:cs="宋体"/>
          <w:sz w:val="24"/>
          <w:szCs w:val="24"/>
        </w:rPr>
        <w:t>企业名称（盖章）：</w:t>
      </w:r>
      <w:r>
        <w:rPr>
          <w:rFonts w:hint="eastAsia" w:ascii="宋体" w:hAnsi="宋体" w:eastAsia="宋体" w:cs="宋体"/>
          <w:sz w:val="24"/>
          <w:szCs w:val="24"/>
          <w:lang w:val="en-US" w:eastAsia="zh-CN"/>
        </w:rPr>
        <w:t>xxxx有限公司</w:t>
      </w:r>
      <w:bookmarkStart w:id="8" w:name="_GoBack"/>
      <w:bookmarkEnd w:id="8"/>
    </w:p>
    <w:p w14:paraId="5FAD9E29">
      <w:pPr>
        <w:spacing w:line="360" w:lineRule="auto"/>
        <w:ind w:firstLine="5760" w:firstLineChars="2400"/>
        <w:rPr>
          <w:rFonts w:hint="default" w:ascii="宋体" w:hAnsi="宋体" w:eastAsia="宋体" w:cs="宋体"/>
          <w:sz w:val="24"/>
          <w:szCs w:val="24"/>
          <w:lang w:val="en-US" w:eastAsia="zh-CN"/>
        </w:rPr>
      </w:pPr>
      <w:r>
        <w:rPr>
          <w:rFonts w:hint="eastAsia" w:ascii="宋体" w:hAnsi="宋体" w:eastAsia="宋体" w:cs="宋体"/>
          <w:sz w:val="24"/>
          <w:szCs w:val="24"/>
        </w:rPr>
        <w:t>日期：</w:t>
      </w:r>
      <w:r>
        <w:rPr>
          <w:rFonts w:hint="eastAsia" w:ascii="宋体" w:hAnsi="宋体" w:eastAsia="宋体" w:cs="宋体"/>
          <w:sz w:val="24"/>
          <w:szCs w:val="24"/>
          <w:lang w:val="en-US" w:eastAsia="zh-CN"/>
        </w:rPr>
        <w:t>2026年xx月xx日</w:t>
      </w:r>
    </w:p>
    <w:p w14:paraId="47E52E0F">
      <w:pPr>
        <w:adjustRightInd w:val="0"/>
        <w:snapToGrid w:val="0"/>
        <w:spacing w:line="360" w:lineRule="auto"/>
        <w:ind w:right="105" w:rightChars="50" w:firstLine="476" w:firstLineChars="227"/>
        <w:jc w:val="left"/>
        <w:rPr>
          <w:rFonts w:hint="eastAsia" w:ascii="宋体" w:hAnsi="宋体" w:eastAsia="宋体" w:cs="宋体"/>
          <w:szCs w:val="21"/>
        </w:rPr>
      </w:pPr>
    </w:p>
    <w:p w14:paraId="4BB700BA">
      <w:pPr>
        <w:pStyle w:val="16"/>
        <w:spacing w:line="360" w:lineRule="auto"/>
        <w:rPr>
          <w:rFonts w:hint="eastAsia" w:ascii="宋体" w:hAnsi="宋体" w:eastAsia="宋体" w:cs="宋体"/>
          <w:szCs w:val="21"/>
        </w:rPr>
      </w:pPr>
    </w:p>
    <w:p w14:paraId="1917A9BD">
      <w:pPr>
        <w:pStyle w:val="16"/>
        <w:spacing w:line="360" w:lineRule="auto"/>
        <w:rPr>
          <w:rFonts w:hint="eastAsia" w:ascii="宋体" w:hAnsi="宋体" w:eastAsia="宋体" w:cs="宋体"/>
          <w:szCs w:val="21"/>
        </w:rPr>
      </w:pPr>
    </w:p>
    <w:p w14:paraId="4300650B">
      <w:pPr>
        <w:pStyle w:val="16"/>
        <w:spacing w:line="360" w:lineRule="auto"/>
        <w:rPr>
          <w:rFonts w:hint="eastAsia" w:ascii="宋体" w:hAnsi="宋体" w:eastAsia="宋体" w:cs="宋体"/>
          <w:szCs w:val="21"/>
        </w:rPr>
      </w:pPr>
    </w:p>
    <w:p w14:paraId="771CFE14">
      <w:pPr>
        <w:spacing w:line="360" w:lineRule="auto"/>
        <w:rPr>
          <w:rFonts w:hint="eastAsia" w:ascii="宋体" w:hAnsi="宋体" w:eastAsia="宋体" w:cs="宋体"/>
        </w:rPr>
      </w:pPr>
      <w:r>
        <w:rPr>
          <w:rFonts w:hint="eastAsia" w:ascii="宋体" w:hAnsi="宋体" w:eastAsia="宋体" w:cs="宋体"/>
        </w:rPr>
        <w:t>注1：从业人员、营业收入、资产总额填报上一年度数据，无上一年度数据的新成立企业可不填报。</w:t>
      </w:r>
    </w:p>
    <w:p w14:paraId="458BCCF5">
      <w:pPr>
        <w:numPr>
          <w:ilvl w:val="0"/>
          <w:numId w:val="0"/>
        </w:numPr>
        <w:rPr>
          <w:rFonts w:hint="eastAsia" w:ascii="宋体" w:hAnsi="宋体" w:eastAsia="宋体" w:cs="宋体"/>
          <w:lang w:val="en-US" w:eastAsia="zh-CN"/>
        </w:rPr>
      </w:pPr>
    </w:p>
    <w:p w14:paraId="19F6F189">
      <w:pPr>
        <w:numPr>
          <w:ilvl w:val="0"/>
          <w:numId w:val="0"/>
        </w:numPr>
        <w:rPr>
          <w:rFonts w:hint="eastAsia" w:ascii="宋体" w:hAnsi="宋体" w:eastAsia="宋体" w:cs="宋体"/>
          <w:lang w:val="en-US" w:eastAsia="zh-CN"/>
        </w:rPr>
      </w:pPr>
    </w:p>
    <w:p w14:paraId="2B3F136C">
      <w:pPr>
        <w:numPr>
          <w:ilvl w:val="0"/>
          <w:numId w:val="0"/>
        </w:numPr>
        <w:rPr>
          <w:rFonts w:hint="eastAsia" w:ascii="宋体" w:hAnsi="宋体" w:eastAsia="宋体" w:cs="宋体"/>
          <w:lang w:val="en-US" w:eastAsia="zh-CN"/>
        </w:rPr>
      </w:pPr>
    </w:p>
    <w:p w14:paraId="3F00C055">
      <w:pPr>
        <w:numPr>
          <w:ilvl w:val="0"/>
          <w:numId w:val="0"/>
        </w:numPr>
        <w:rPr>
          <w:rFonts w:hint="eastAsia" w:ascii="宋体" w:hAnsi="宋体" w:eastAsia="宋体" w:cs="宋体"/>
          <w:lang w:val="en-US" w:eastAsia="zh-CN"/>
        </w:rPr>
      </w:pPr>
    </w:p>
    <w:p w14:paraId="5894486A">
      <w:pPr>
        <w:jc w:val="both"/>
        <w:rPr>
          <w:rFonts w:hint="eastAsia" w:ascii="宋体" w:hAnsi="宋体" w:eastAsia="宋体" w:cs="宋体"/>
          <w:b/>
          <w:bCs/>
          <w:sz w:val="44"/>
          <w:szCs w:val="44"/>
          <w:lang w:val="en-US" w:eastAsia="zh-CN"/>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F9CBECC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F3DF25"/>
    <w:multiLevelType w:val="singleLevel"/>
    <w:tmpl w:val="DCF3DF25"/>
    <w:lvl w:ilvl="0" w:tentative="0">
      <w:start w:val="2"/>
      <w:numFmt w:val="chineseCounting"/>
      <w:suff w:val="nothing"/>
      <w:lvlText w:val="%1、"/>
      <w:lvlJc w:val="left"/>
      <w:rPr>
        <w:rFonts w:hint="eastAsia"/>
      </w:rPr>
    </w:lvl>
  </w:abstractNum>
  <w:abstractNum w:abstractNumId="1">
    <w:nsid w:val="FBA62E20"/>
    <w:multiLevelType w:val="singleLevel"/>
    <w:tmpl w:val="FBA62E20"/>
    <w:lvl w:ilvl="0" w:tentative="0">
      <w:start w:val="1"/>
      <w:numFmt w:val="decimal"/>
      <w:lvlText w:val="%1."/>
      <w:lvlJc w:val="left"/>
      <w:pPr>
        <w:ind w:left="425" w:hanging="425"/>
      </w:pPr>
      <w:rPr>
        <w:rFonts w:hint="default"/>
      </w:rPr>
    </w:lvl>
  </w:abstractNum>
  <w:abstractNum w:abstractNumId="2">
    <w:nsid w:val="FFFFF051"/>
    <w:multiLevelType w:val="singleLevel"/>
    <w:tmpl w:val="FFFFF051"/>
    <w:lvl w:ilvl="0" w:tentative="0">
      <w:start w:val="1"/>
      <w:numFmt w:val="decimal"/>
      <w:lvlText w:val="%1."/>
      <w:lvlJc w:val="left"/>
      <w:pPr>
        <w:ind w:left="425" w:hanging="425"/>
      </w:pPr>
      <w:rPr>
        <w:rFonts w:hint="default"/>
      </w:rPr>
    </w:lvl>
  </w:abstractNum>
  <w:abstractNum w:abstractNumId="3">
    <w:nsid w:val="2D88709F"/>
    <w:multiLevelType w:val="singleLevel"/>
    <w:tmpl w:val="2D88709F"/>
    <w:lvl w:ilvl="0" w:tentative="0">
      <w:start w:val="1"/>
      <w:numFmt w:val="decimal"/>
      <w:lvlText w:val="%1."/>
      <w:lvlJc w:val="left"/>
      <w:pPr>
        <w:ind w:left="425" w:hanging="425"/>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C16C66"/>
    <w:rsid w:val="031713E0"/>
    <w:rsid w:val="056A0DEE"/>
    <w:rsid w:val="06C16C66"/>
    <w:rsid w:val="08ED53DA"/>
    <w:rsid w:val="1A240D32"/>
    <w:rsid w:val="1AE801D6"/>
    <w:rsid w:val="1C8E5E18"/>
    <w:rsid w:val="1CB515F6"/>
    <w:rsid w:val="1D02393F"/>
    <w:rsid w:val="2529090D"/>
    <w:rsid w:val="29363ABF"/>
    <w:rsid w:val="2B790267"/>
    <w:rsid w:val="32A41556"/>
    <w:rsid w:val="33FC6DA4"/>
    <w:rsid w:val="34F90A02"/>
    <w:rsid w:val="38F82780"/>
    <w:rsid w:val="392A6A70"/>
    <w:rsid w:val="3CC54C09"/>
    <w:rsid w:val="40131F31"/>
    <w:rsid w:val="43B962A8"/>
    <w:rsid w:val="4C2D26A8"/>
    <w:rsid w:val="55A27C63"/>
    <w:rsid w:val="571B7CCD"/>
    <w:rsid w:val="577B5680"/>
    <w:rsid w:val="579E26AC"/>
    <w:rsid w:val="594D07E5"/>
    <w:rsid w:val="5C207B33"/>
    <w:rsid w:val="5CC10E10"/>
    <w:rsid w:val="5F5F103A"/>
    <w:rsid w:val="65EA3902"/>
    <w:rsid w:val="67D92C5D"/>
    <w:rsid w:val="68CA4864"/>
    <w:rsid w:val="69286279"/>
    <w:rsid w:val="6BA22313"/>
    <w:rsid w:val="6DCD0AF3"/>
    <w:rsid w:val="72173058"/>
    <w:rsid w:val="78AA0A59"/>
    <w:rsid w:val="7C165D57"/>
    <w:rsid w:val="7CBE4AD3"/>
    <w:rsid w:val="7EA9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4"/>
    <w:basedOn w:val="1"/>
    <w:next w:val="1"/>
    <w:qFormat/>
    <w:uiPriority w:val="0"/>
    <w:pPr>
      <w:keepNext/>
      <w:keepLines/>
      <w:outlineLvl w:val="3"/>
    </w:pPr>
    <w:rPr>
      <w:rFonts w:ascii="Arial" w:hAnsi="Arial" w:eastAsia="黑体"/>
      <w:bCs/>
      <w:kern w:val="0"/>
      <w:sz w:val="24"/>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caption"/>
    <w:basedOn w:val="1"/>
    <w:next w:val="1"/>
    <w:qFormat/>
    <w:uiPriority w:val="0"/>
    <w:rPr>
      <w:rFonts w:ascii="Arial" w:hAnsi="Arial" w:eastAsia="黑体" w:cs="Arial"/>
      <w:sz w:val="20"/>
      <w:szCs w:val="20"/>
    </w:rPr>
  </w:style>
  <w:style w:type="paragraph" w:styleId="5">
    <w:name w:val="Body Text"/>
    <w:basedOn w:val="1"/>
    <w:next w:val="6"/>
    <w:qFormat/>
    <w:uiPriority w:val="0"/>
    <w:pPr>
      <w:spacing w:line="360" w:lineRule="auto"/>
    </w:pPr>
    <w:rPr>
      <w:szCs w:val="20"/>
    </w:rPr>
  </w:style>
  <w:style w:type="paragraph" w:customStyle="1" w:styleId="6">
    <w:name w:val="_Style 2"/>
    <w:basedOn w:val="1"/>
    <w:next w:val="1"/>
    <w:qFormat/>
    <w:uiPriority w:val="0"/>
    <w:pPr>
      <w:wordWrap w:val="0"/>
      <w:spacing w:before="200"/>
      <w:ind w:left="864" w:right="864"/>
      <w:jc w:val="center"/>
    </w:pPr>
    <w:rPr>
      <w:i/>
    </w:rPr>
  </w:style>
  <w:style w:type="paragraph" w:styleId="7">
    <w:name w:val="Body Text Indent"/>
    <w:basedOn w:val="1"/>
    <w:qFormat/>
    <w:uiPriority w:val="0"/>
    <w:pPr>
      <w:spacing w:line="360" w:lineRule="auto"/>
      <w:ind w:left="425" w:firstLine="518" w:firstLineChars="216"/>
    </w:pPr>
    <w:rPr>
      <w:rFonts w:ascii="楷体_GB2312" w:eastAsia="楷体_GB2312"/>
      <w:sz w:val="24"/>
    </w:rPr>
  </w:style>
  <w:style w:type="paragraph" w:styleId="8">
    <w:name w:val="footer"/>
    <w:basedOn w:val="1"/>
    <w:uiPriority w:val="0"/>
    <w:pPr>
      <w:tabs>
        <w:tab w:val="center" w:pos="4153"/>
        <w:tab w:val="right" w:pos="8306"/>
      </w:tabs>
      <w:snapToGrid w:val="0"/>
      <w:jc w:val="left"/>
    </w:pPr>
    <w:rPr>
      <w:sz w:val="18"/>
    </w:rPr>
  </w:style>
  <w:style w:type="paragraph" w:styleId="9">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10">
    <w:name w:val="Body Text First Indent 2"/>
    <w:basedOn w:val="7"/>
    <w:unhideWhenUsed/>
    <w:qFormat/>
    <w:uiPriority w:val="99"/>
    <w:pPr>
      <w:ind w:firstLine="420" w:firstLineChars="200"/>
    </w:pPr>
  </w:style>
  <w:style w:type="character" w:styleId="13">
    <w:name w:val="Strong"/>
    <w:basedOn w:val="12"/>
    <w:qFormat/>
    <w:uiPriority w:val="0"/>
    <w:rPr>
      <w:b/>
    </w:rPr>
  </w:style>
  <w:style w:type="paragraph" w:customStyle="1" w:styleId="14">
    <w:name w:val="题注4"/>
    <w:basedOn w:val="1"/>
    <w:next w:val="4"/>
    <w:qFormat/>
    <w:uiPriority w:val="0"/>
    <w:pPr>
      <w:ind w:left="-132" w:leftChars="-64" w:right="-105" w:rightChars="-50" w:hanging="2"/>
      <w:jc w:val="center"/>
    </w:pPr>
    <w:rPr>
      <w:b/>
      <w:color w:val="FF0000"/>
      <w:szCs w:val="21"/>
      <w:lang w:val="en-GB"/>
    </w:rPr>
  </w:style>
  <w:style w:type="paragraph" w:customStyle="1" w:styleId="15">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16">
    <w:name w:val="正文正"/>
    <w:basedOn w:val="17"/>
    <w:qFormat/>
    <w:uiPriority w:val="0"/>
    <w:pPr>
      <w:spacing w:line="560" w:lineRule="exact"/>
      <w:ind w:firstLine="561"/>
    </w:pPr>
    <w:rPr>
      <w:rFonts w:eastAsia="仿宋_GB2312"/>
      <w:sz w:val="28"/>
      <w:szCs w:val="24"/>
    </w:rPr>
  </w:style>
  <w:style w:type="paragraph" w:customStyle="1" w:styleId="17">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customStyle="1" w:styleId="18">
    <w:name w:val="Normal Indent"/>
    <w:basedOn w:val="19"/>
    <w:qFormat/>
    <w:uiPriority w:val="0"/>
    <w:pPr>
      <w:widowControl/>
      <w:ind w:firstLine="420"/>
      <w:jc w:val="left"/>
    </w:pPr>
    <w:rPr>
      <w:rFonts w:ascii="Times New Roman" w:hAnsi="Times New Roman"/>
      <w:kern w:val="0"/>
      <w:szCs w:val="20"/>
    </w:rPr>
  </w:style>
  <w:style w:type="paragraph" w:customStyle="1" w:styleId="19">
    <w:name w:val="正文 New"/>
    <w:next w:val="1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_Style 3"/>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21">
    <w:name w:val="NormalCharacter"/>
    <w:semiHidden/>
    <w:qFormat/>
    <w:uiPriority w:val="0"/>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3290</Words>
  <Characters>3404</Characters>
  <Lines>0</Lines>
  <Paragraphs>0</Paragraphs>
  <TotalTime>0</TotalTime>
  <ScaleCrop>false</ScaleCrop>
  <LinksUpToDate>false</LinksUpToDate>
  <CharactersWithSpaces>3481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2025-12-11T01:07:00Z</dcterms:created>
  <dc:creator>王俊</dc:creator>
  <cp:lastModifiedBy>Daishaoc</cp:lastModifiedBy>
  <cp:lastPrinted>2025-12-23T02:12:00Z</cp:lastPrinted>
  <dcterms:modified xsi:type="dcterms:W3CDTF">2026-06-29T03:37:08Z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9D346CCA2B51454A89756325F7B013BF_13</vt:lpwstr>
  </property>
  <property fmtid="{D5CDD505-2E9C-101B-9397-08002B2CF9AE}" pid="4" name="KSOTemplateDocerSaveRecord">
    <vt:lpwstr>eyJoZGlkIjoiODMwNzAyZGZiNDI2NDk5ODY1YmMzMTY3MjUxYjI4MDAiLCJ1c2VySWQiOiI2NTU3NzExNTAifQ==</vt:lpwstr>
  </property>
</Properties>
</file>