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bookmarkStart w:id="0" w:name="_GoBack"/>
      <w:bookmarkEnd w:id="0"/>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电子询价项目名称：韶关市高速公路恶劣天气交通预警处置平台升级服务</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电子询价项目编号：2025-316-SGYD-DZX                                                          预算金额：¥240,000.00</w:t>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61"/>
        <w:gridCol w:w="1155"/>
        <w:gridCol w:w="8960"/>
        <w:gridCol w:w="1063"/>
        <w:gridCol w:w="670"/>
        <w:gridCol w:w="427"/>
        <w:gridCol w:w="818"/>
        <w:gridCol w:w="42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vAlign w:val="center"/>
          </w:tcPr>
          <w:p w14:paraId="531F139E">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noWrap/>
            <w:vAlign w:val="center"/>
          </w:tcPr>
          <w:p w14:paraId="79140AB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vAlign w:val="center"/>
          </w:tcPr>
          <w:p w14:paraId="6834C66F">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采购需求的技术、服务要求</w:t>
            </w:r>
          </w:p>
        </w:tc>
        <w:tc>
          <w:tcPr>
            <w:tcW w:w="1063" w:type="dxa"/>
            <w:tcBorders>
              <w:top w:val="single" w:color="000000" w:sz="4" w:space="0"/>
              <w:left w:val="single" w:color="000000" w:sz="4" w:space="0"/>
              <w:bottom w:val="single" w:color="000000" w:sz="4" w:space="0"/>
              <w:right w:val="single" w:color="000000" w:sz="4" w:space="0"/>
            </w:tcBorders>
            <w:shd w:val="clear"/>
            <w:vAlign w:val="center"/>
          </w:tcPr>
          <w:p w14:paraId="34472AB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报价产品的技术、服务响应情况</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14:paraId="40E0A8F8">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是否满足要求</w:t>
            </w:r>
          </w:p>
        </w:tc>
        <w:tc>
          <w:tcPr>
            <w:tcW w:w="427" w:type="dxa"/>
            <w:tcBorders>
              <w:top w:val="single" w:color="000000" w:sz="4" w:space="0"/>
              <w:left w:val="single" w:color="000000" w:sz="4" w:space="0"/>
              <w:bottom w:val="single" w:color="000000" w:sz="4" w:space="0"/>
              <w:right w:val="single" w:color="000000" w:sz="4" w:space="0"/>
            </w:tcBorders>
            <w:shd w:val="clear"/>
            <w:vAlign w:val="center"/>
          </w:tcPr>
          <w:p w14:paraId="60D0F6D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vAlign w:val="center"/>
          </w:tcPr>
          <w:p w14:paraId="6B129DF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单价（元）</w:t>
            </w:r>
          </w:p>
        </w:tc>
        <w:tc>
          <w:tcPr>
            <w:tcW w:w="427" w:type="dxa"/>
            <w:tcBorders>
              <w:top w:val="single" w:color="000000" w:sz="4" w:space="0"/>
              <w:left w:val="single" w:color="000000" w:sz="4" w:space="0"/>
              <w:bottom w:val="single" w:color="000000" w:sz="4" w:space="0"/>
              <w:right w:val="single" w:color="000000" w:sz="4" w:space="0"/>
            </w:tcBorders>
            <w:shd w:val="clear"/>
            <w:vAlign w:val="center"/>
          </w:tcPr>
          <w:p w14:paraId="2BA59CA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vAlign w:val="center"/>
          </w:tcPr>
          <w:p w14:paraId="75F80C53">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noWrap/>
            <w:vAlign w:val="center"/>
          </w:tcPr>
          <w:p w14:paraId="7F879D74">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r>
              <w:rPr>
                <w:rFonts w:hint="eastAsia" w:ascii="宋体" w:hAnsi="宋体" w:eastAsia="宋体" w:cs="宋体"/>
                <w:i w:val="0"/>
                <w:iCs w:val="0"/>
                <w:color w:val="000000"/>
                <w:kern w:val="0"/>
                <w:sz w:val="21"/>
                <w:szCs w:val="21"/>
                <w:u w:val="none"/>
                <w:lang w:val="en-US" w:eastAsia="zh-CN" w:bidi="ar"/>
              </w:rPr>
              <w:t>韶关市高速公路恶劣天气交通预警处置平台升级服务</w:t>
            </w:r>
          </w:p>
        </w:tc>
        <w:tc>
          <w:tcPr>
            <w:tcW w:w="8960" w:type="dxa"/>
            <w:tcBorders>
              <w:top w:val="single" w:color="000000" w:sz="4" w:space="0"/>
              <w:left w:val="single" w:color="000000" w:sz="4" w:space="0"/>
              <w:bottom w:val="single" w:color="000000" w:sz="4" w:space="0"/>
              <w:right w:val="single" w:color="000000" w:sz="4" w:space="0"/>
            </w:tcBorders>
            <w:shd w:val="clear"/>
            <w:vAlign w:val="center"/>
          </w:tcPr>
          <w:p w14:paraId="160C525A">
            <w:pPr>
              <w:keepNext w:val="0"/>
              <w:keepLines w:val="0"/>
              <w:pageBreakBefore w:val="0"/>
              <w:numPr>
                <w:ilvl w:val="0"/>
                <w:numId w:val="1"/>
              </w:numPr>
              <w:kinsoku/>
              <w:wordWrap/>
              <w:overflowPunct/>
              <w:topLinePunct w:val="0"/>
              <w:bidi w:val="0"/>
              <w:snapToGrid/>
              <w:spacing w:line="340" w:lineRule="exact"/>
              <w:ind w:left="0" w:leftChars="0" w:firstLine="0" w:firstLineChars="0"/>
              <w:rPr>
                <w:rFonts w:hint="eastAsia" w:ascii="宋体" w:hAnsi="宋体" w:eastAsia="宋体" w:cs="宋体"/>
                <w:b/>
                <w:bCs/>
                <w:sz w:val="21"/>
                <w:szCs w:val="21"/>
              </w:rPr>
            </w:pPr>
            <w:r>
              <w:rPr>
                <w:rFonts w:hint="eastAsia" w:ascii="宋体" w:hAnsi="宋体" w:eastAsia="宋体" w:cs="宋体"/>
                <w:b/>
                <w:bCs/>
                <w:sz w:val="21"/>
                <w:szCs w:val="21"/>
              </w:rPr>
              <w:t>采购项目服务内容</w:t>
            </w:r>
          </w:p>
          <w:p w14:paraId="195A22E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针对韶关市高速公路恶劣天气交通预警处置平台</w:t>
            </w:r>
            <w:r>
              <w:rPr>
                <w:rFonts w:hint="eastAsia" w:ascii="宋体" w:hAnsi="宋体" w:eastAsia="宋体" w:cs="宋体"/>
                <w:color w:val="auto"/>
                <w:sz w:val="21"/>
                <w:szCs w:val="21"/>
              </w:rPr>
              <w:t>（PC端和APP端）</w:t>
            </w:r>
            <w:r>
              <w:rPr>
                <w:rFonts w:hint="eastAsia" w:ascii="宋体" w:hAnsi="宋体" w:eastAsia="宋体" w:cs="宋体"/>
                <w:sz w:val="21"/>
                <w:szCs w:val="21"/>
              </w:rPr>
              <w:t>进行软件功能开发升级服务。</w:t>
            </w:r>
          </w:p>
          <w:p w14:paraId="3BF4555E">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sz w:val="21"/>
                <w:szCs w:val="21"/>
              </w:rPr>
            </w:pPr>
            <w:r>
              <w:rPr>
                <w:rFonts w:hint="eastAsia" w:ascii="宋体" w:hAnsi="宋体" w:eastAsia="宋体" w:cs="宋体"/>
                <w:b/>
                <w:bCs/>
                <w:sz w:val="21"/>
                <w:szCs w:val="21"/>
              </w:rPr>
              <w:t>（一）功能模块需求内容</w:t>
            </w:r>
          </w:p>
          <w:p w14:paraId="10ADAFC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【风险预警模块】</w:t>
            </w:r>
          </w:p>
          <w:p w14:paraId="029640E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1.新增历史查询功能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在交通平台-风险预警页面增加时间轴，支持查看历史的数据，模块内所有数据都支持联动查询</w:t>
            </w:r>
          </w:p>
          <w:p w14:paraId="12DEE96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2.对接预警数据：将原预警报文对接省突平台修改为对接数据中心FTP服务器</w:t>
            </w:r>
          </w:p>
          <w:p w14:paraId="46288FA6">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3.新增分路段降雨风险预报功能：在风险预警左下角的“精准预测”里增加一个“分路段降雨风险预报”的选项按钮，点击后对路段进行填色，用路段的降水数据以24小时降水色标的标准进行填色，同时支持历史数据查询（要和时间轴联动），早上9点和下午17点各生成一次，预报时效分别为08-08和20-20，默认分别使用前一天下午制作的GIFTDAILY和当天下午制作的GIFTDAILY数据。</w:t>
            </w:r>
          </w:p>
          <w:p w14:paraId="618D1C69">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4.新增分路段降雨实况功能：在风险预警左下角的“精准预测”里增加一个“分路段降雨实况”，用高速上的站点求雨量平均值(如果路段上有交通站就使用交通站，如果路段上没有站点，根据客户提供路段和新增区域站的关联关系，采集区域站信息并构建关联，使用站点累计后的雨量做平均，把平均雨量当成是这个路段的实况雨量)，给路段填色，每天早上8点20分。</w:t>
            </w:r>
          </w:p>
          <w:p w14:paraId="14A0BC23">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5.新增告警闪烁功能：在告警的路段旁边的增加一个闪烁的小灯。</w:t>
            </w:r>
          </w:p>
          <w:p w14:paraId="352A687C">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6.新增导出功能：导出生成一张图，类似客户的降水风险预报等级图（图例、路段、分段点）</w:t>
            </w:r>
            <w:r>
              <w:rPr>
                <w:rFonts w:hint="eastAsia" w:ascii="宋体" w:hAnsi="宋体" w:eastAsia="宋体" w:cs="宋体"/>
                <w:color w:val="auto"/>
                <w:sz w:val="21"/>
                <w:szCs w:val="21"/>
                <w:lang w:eastAsia="zh-CN"/>
              </w:rPr>
              <w:t>。</w:t>
            </w:r>
          </w:p>
          <w:p w14:paraId="15FADB51">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7.“自动站”名称修改为“交通气象站”，同时新增周边气象站功能，并在每个路段上绑定周边气象站（站点与路段绑定关系由客户梳理提供，根据范围绑定最近的一个周边气象站）</w:t>
            </w:r>
            <w:r>
              <w:rPr>
                <w:rFonts w:hint="eastAsia" w:ascii="宋体" w:hAnsi="宋体" w:eastAsia="宋体" w:cs="宋体"/>
                <w:color w:val="auto"/>
                <w:sz w:val="21"/>
                <w:szCs w:val="21"/>
                <w:lang w:eastAsia="zh-CN"/>
              </w:rPr>
              <w:t>。</w:t>
            </w:r>
          </w:p>
          <w:p w14:paraId="4A293647">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8.左下角的道路监测增加一个“分段点”，放到第一项（即放到关键点前面），可以和其他数据同时展示；“雷达反射回波”、“分路段降雨风险预报”、“分路段降雨实况”需要默认展示分段点</w:t>
            </w:r>
            <w:r>
              <w:rPr>
                <w:rFonts w:hint="eastAsia" w:ascii="宋体" w:hAnsi="宋体" w:eastAsia="宋体" w:cs="宋体"/>
                <w:color w:val="auto"/>
                <w:sz w:val="21"/>
                <w:szCs w:val="21"/>
                <w:lang w:eastAsia="zh-CN"/>
              </w:rPr>
              <w:t>。</w:t>
            </w:r>
          </w:p>
          <w:p w14:paraId="4FB097D8">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9.增加一个控制按钮，把风险预警全局点位数据，可以控制文字的隐藏和显示</w:t>
            </w:r>
            <w:r>
              <w:rPr>
                <w:rFonts w:hint="eastAsia" w:ascii="宋体" w:hAnsi="宋体" w:eastAsia="宋体" w:cs="宋体"/>
                <w:color w:val="auto"/>
                <w:sz w:val="21"/>
                <w:szCs w:val="21"/>
                <w:highlight w:val="none"/>
                <w:lang w:eastAsia="zh-CN"/>
              </w:rPr>
              <w:t>。</w:t>
            </w:r>
          </w:p>
          <w:p w14:paraId="6ECCB3CE">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10.一周天气增加未来3小时逐小时雨量</w:t>
            </w:r>
          </w:p>
          <w:p w14:paraId="326F504E">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11.增加预警提示音。在气象部门发布路段预警或解除预警后，高速公司与交警账户角色增加预警签收与结束应急任务的提示音，用户未签收预警或未结束应急则提醒用户。</w:t>
            </w:r>
          </w:p>
          <w:p w14:paraId="14A9DBCF">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12.雷达反射图。泛华南拼图，不用叠加到地图上，窗口播放图片。地图增加湖南、江西、广西、贵州、海南、福建、广东、台湾</w:t>
            </w:r>
            <w:r>
              <w:rPr>
                <w:rFonts w:hint="eastAsia" w:ascii="宋体" w:hAnsi="宋体" w:eastAsia="宋体" w:cs="宋体"/>
                <w:color w:val="auto"/>
                <w:sz w:val="21"/>
                <w:szCs w:val="21"/>
                <w:lang w:eastAsia="zh-CN"/>
              </w:rPr>
              <w:t>。</w:t>
            </w:r>
          </w:p>
          <w:p w14:paraId="6E1DD63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13.上图数据中各类数据修改为多选叠加展示，含“道路监测”、“精准预测”、“路况路网”、“道路风险”、“灾害个例”的各类数据。</w:t>
            </w:r>
          </w:p>
          <w:p w14:paraId="023E6A97">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【智能感知模块】</w:t>
            </w:r>
          </w:p>
          <w:p w14:paraId="537484F5">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在智能感知页面右上角站点列表后新增“实况统计”功能入口。日历控件选择开始时间与结束时间，时间精确到整点，开始时间与结束时间最大长度不超过30天，可选择的最早开始时间为1年内。可筛选统计的高速路段。统计输出字段包括：时间、站号、站名 、累计雨量、所属高速、城市、乡镇、区县、数据完整率（起始和结束时次中缺测数量计算）。统计任意日期内逐日雨量统计，可选08-08或者20-20，日历控件同第2点。可将查询统计数据下载保存成excel文件。</w:t>
            </w:r>
          </w:p>
          <w:p w14:paraId="176EEC5F">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【平台全局添加功能】</w:t>
            </w:r>
          </w:p>
          <w:p w14:paraId="0697DD1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1.系统全局新增北环高速、雄信高速、始兴连接线（全系统增加路段数据，叠加相关数据，增加路段的预警发布、增加路段预警计算逻辑）</w:t>
            </w:r>
            <w:r>
              <w:rPr>
                <w:rFonts w:hint="eastAsia" w:ascii="宋体" w:hAnsi="宋体" w:eastAsia="宋体" w:cs="宋体"/>
                <w:color w:val="auto"/>
                <w:sz w:val="21"/>
                <w:szCs w:val="21"/>
                <w:lang w:eastAsia="zh-CN"/>
              </w:rPr>
              <w:t>。</w:t>
            </w:r>
          </w:p>
          <w:p w14:paraId="751C74D3">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2.增加一个自动站的降雨、大风、气温告警（阈值后台设置），告警站点旁边有一个告警闪烁，APP推送报警</w:t>
            </w:r>
            <w:r>
              <w:rPr>
                <w:rFonts w:hint="eastAsia" w:ascii="宋体" w:hAnsi="宋体" w:eastAsia="宋体" w:cs="宋体"/>
                <w:color w:val="auto"/>
                <w:sz w:val="21"/>
                <w:szCs w:val="21"/>
                <w:lang w:eastAsia="zh-CN"/>
              </w:rPr>
              <w:t>。</w:t>
            </w:r>
          </w:p>
          <w:p w14:paraId="6A382E28">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3.时间轴上再增加一个未来3小时逐6分钟雨量</w:t>
            </w:r>
            <w:r>
              <w:rPr>
                <w:rFonts w:hint="eastAsia" w:ascii="宋体" w:hAnsi="宋体" w:eastAsia="宋体" w:cs="宋体"/>
                <w:color w:val="auto"/>
                <w:sz w:val="21"/>
                <w:szCs w:val="21"/>
                <w:lang w:eastAsia="zh-CN"/>
              </w:rPr>
              <w:t>。</w:t>
            </w:r>
          </w:p>
          <w:p w14:paraId="7594AAFE">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4.筛选高速功能，根据所选高速展示该高速所绑定的站点、关键点等数据，其余数据隐藏</w:t>
            </w:r>
            <w:r>
              <w:rPr>
                <w:rFonts w:hint="eastAsia" w:ascii="宋体" w:hAnsi="宋体" w:eastAsia="宋体" w:cs="宋体"/>
                <w:color w:val="auto"/>
                <w:sz w:val="21"/>
                <w:szCs w:val="21"/>
                <w:lang w:eastAsia="zh-CN"/>
              </w:rPr>
              <w:t>。</w:t>
            </w:r>
          </w:p>
          <w:p w14:paraId="6DC830AC">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5.账号关联路段功能，根据关联路段信息，默认展示该路段的相关信息/数据；后天关联新增角色管理功能，角色可以控制关联高速的权限控制，账号所关联的角色，账号进入系统根据角色关联路段，系统全局所展示的数据都是关联高速的数据；（目前是例如创建一个仁新高速创建账号，但是只能选择京港澳的角色，而且看到的是所有高速数据）</w:t>
            </w:r>
            <w:r>
              <w:rPr>
                <w:rFonts w:hint="eastAsia" w:ascii="宋体" w:hAnsi="宋体" w:eastAsia="宋体" w:cs="宋体"/>
                <w:color w:val="auto"/>
                <w:sz w:val="21"/>
                <w:szCs w:val="21"/>
                <w:lang w:eastAsia="zh-CN"/>
              </w:rPr>
              <w:t>。</w:t>
            </w:r>
          </w:p>
          <w:p w14:paraId="3F2BC5A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（二）系统安全加固与合规性保障</w:t>
            </w:r>
          </w:p>
          <w:p w14:paraId="703E96CA">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1.按照国家信息安全等级保护二级要求进行安全设计与实施。</w:t>
            </w:r>
          </w:p>
          <w:p w14:paraId="7B8B7F37">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实现登录防暴力破解、敏感数据加密存储（如AES）、操作日志留痕、SQL注入防护、XSS攻击防御等安全机制。</w:t>
            </w:r>
          </w:p>
          <w:p w14:paraId="723FA376">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自行开展渗透测试，修复所有高危漏洞。</w:t>
            </w:r>
          </w:p>
          <w:p w14:paraId="0C979E05">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（三）试运行支持与问题整改</w:t>
            </w:r>
          </w:p>
          <w:p w14:paraId="7C5B1B46">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系统上线后提供不少于3个月的试运行期支持。</w:t>
            </w:r>
          </w:p>
          <w:p w14:paraId="5BE16B4B">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建立问题反馈机制，对试运行期间发现的缺陷进行及时修复（一般问题24小时内响应，严重问题4小时内响应）。</w:t>
            </w:r>
          </w:p>
          <w:p w14:paraId="29404211">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每月提交《试运行问题汇总与整改报告》。</w:t>
            </w:r>
          </w:p>
          <w:p w14:paraId="071D8872">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（四）项目文档交付</w:t>
            </w:r>
          </w:p>
          <w:p w14:paraId="6A2FCB1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项目验收前，供应商须提交以下完整文档：</w:t>
            </w:r>
          </w:p>
          <w:p w14:paraId="1E58743B">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《需求规格说明书》</w:t>
            </w:r>
          </w:p>
          <w:p w14:paraId="264B780B">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《系统设计文档》</w:t>
            </w:r>
          </w:p>
          <w:p w14:paraId="3B4BB145">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《数据库设计说明书》</w:t>
            </w:r>
          </w:p>
          <w:p w14:paraId="4C6A74C2">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《接口文档》</w:t>
            </w:r>
          </w:p>
          <w:p w14:paraId="0651FF0B">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《测试报告》（含功能、性能、安全测试）</w:t>
            </w:r>
          </w:p>
          <w:p w14:paraId="418EEB18">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《用户操作手册》</w:t>
            </w:r>
          </w:p>
          <w:p w14:paraId="3EE3B412">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《系统运维手册》</w:t>
            </w:r>
          </w:p>
          <w:p w14:paraId="06189662">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《部署手册》</w:t>
            </w:r>
          </w:p>
          <w:p w14:paraId="65C27333">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《项目验收报告》</w:t>
            </w:r>
          </w:p>
          <w:p w14:paraId="29DC6DA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（五）售后服务与运维支持</w:t>
            </w:r>
          </w:p>
          <w:p w14:paraId="504541BC">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提供自验收合格之日起1年免费质保服务。</w:t>
            </w:r>
          </w:p>
          <w:p w14:paraId="0FFAABD8">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服务方式：远程支持为主，必要时提供现场服务（响应时间：一级故障2小时内到场，二级故障8小时内响应）。</w:t>
            </w:r>
          </w:p>
          <w:p w14:paraId="487D78E2">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（六）项目管理与沟通机制</w:t>
            </w:r>
          </w:p>
          <w:p w14:paraId="7CF7B410">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供应商须组建专职项目团队，包括项目经理、系统架构师、开发工程师、测试工程师等，项目经理需具备PMP认证。</w:t>
            </w:r>
          </w:p>
          <w:p w14:paraId="09393015">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制定详细项目实施计划（甘特图），明确各阶段里程碑。</w:t>
            </w:r>
          </w:p>
          <w:p w14:paraId="3C3B2947">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每周提交《项目进度周报》，每月召开项目例会，重大变更需书面申请并经采购方审批。</w:t>
            </w:r>
          </w:p>
          <w:p w14:paraId="5D868491">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（七）知识产权与保密要求</w:t>
            </w:r>
          </w:p>
          <w:p w14:paraId="546390C6">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1.项目产生的所有源代码、文档、设计成果知识产权归双方所有。</w:t>
            </w:r>
          </w:p>
          <w:p w14:paraId="0D240F95">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2.供应商须签署保密协议，不得泄露系统架构、业务数据、用户信息等敏感内容，保密义务持续至项目结束后5年。</w:t>
            </w:r>
          </w:p>
          <w:p w14:paraId="3B7930DF">
            <w:pPr>
              <w:keepNext w:val="0"/>
              <w:keepLines w:val="0"/>
              <w:pageBreakBefore w:val="0"/>
              <w:numPr>
                <w:ilvl w:val="0"/>
                <w:numId w:val="1"/>
              </w:numPr>
              <w:kinsoku/>
              <w:wordWrap/>
              <w:overflowPunct/>
              <w:topLinePunct w:val="0"/>
              <w:bidi w:val="0"/>
              <w:snapToGrid/>
              <w:spacing w:line="340" w:lineRule="exact"/>
              <w:ind w:left="0"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商务要求</w:t>
            </w:r>
          </w:p>
          <w:p w14:paraId="008ADD9E">
            <w:pPr>
              <w:pStyle w:val="2"/>
              <w:keepNext w:val="0"/>
              <w:keepLines w:val="0"/>
              <w:pageBreakBefore w:val="0"/>
              <w:numPr>
                <w:ilvl w:val="0"/>
                <w:numId w:val="2"/>
              </w:numPr>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服务期：自合同签订之日起至2025年10月31日。</w:t>
            </w:r>
          </w:p>
          <w:p w14:paraId="738F98CE">
            <w:pPr>
              <w:pStyle w:val="2"/>
              <w:keepNext w:val="0"/>
              <w:keepLines w:val="0"/>
              <w:pageBreakBefore w:val="0"/>
              <w:numPr>
                <w:ilvl w:val="0"/>
                <w:numId w:val="0"/>
              </w:numPr>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（二）服务地点：采购人指定的地点。</w:t>
            </w:r>
          </w:p>
          <w:p w14:paraId="067F1101">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（三）售后服务要求</w:t>
            </w:r>
          </w:p>
          <w:p w14:paraId="55135C35">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1.项目免费质保期为1年，质保开始日期为项目最终验收通过之日起。</w:t>
            </w:r>
          </w:p>
          <w:p w14:paraId="5F5C9E2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2.建立7×24小时技术支持热线，提供远程支持服务。</w:t>
            </w:r>
          </w:p>
          <w:p w14:paraId="7E37BD94">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3.故障响应时间要求：</w:t>
            </w:r>
          </w:p>
          <w:p w14:paraId="0519631F">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（1）一级故障（系统瘫痪、核心功能不可用）：2小时内响应，4小时内提供解决方案，必要时24小时内现场支持。</w:t>
            </w:r>
          </w:p>
          <w:p w14:paraId="16C60D01">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（2）二级故障（部分功能异常）：4小时内响应，8小时内解决。</w:t>
            </w:r>
          </w:p>
          <w:p w14:paraId="47D672D1">
            <w:pPr>
              <w:pStyle w:val="2"/>
              <w:keepNext w:val="0"/>
              <w:keepLines w:val="0"/>
              <w:pageBreakBefore w:val="0"/>
              <w:widowControl w:val="0"/>
              <w:kinsoku/>
              <w:wordWrap/>
              <w:overflowPunct/>
              <w:topLinePunct w:val="0"/>
              <w:autoSpaceDE w:val="0"/>
              <w:autoSpaceDN w:val="0"/>
              <w:bidi w:val="0"/>
              <w:adjustRightInd w:val="0"/>
              <w:snapToGrid/>
              <w:spacing w:line="34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（3）三级故障（一般性问题）：8小时内响应，48小时内解决。</w:t>
            </w:r>
          </w:p>
          <w:p w14:paraId="506EB99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（四）报价要求</w:t>
            </w:r>
          </w:p>
          <w:p w14:paraId="272B6F07">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1. 报价超出预算金额的列为无效响应处理。</w:t>
            </w:r>
          </w:p>
          <w:p w14:paraId="14038EF8">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2. 响应供应商必须对本项目的全部内容进行响应报价，如有缺漏，将导致响应无效。</w:t>
            </w:r>
          </w:p>
          <w:p w14:paraId="41800AFD">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3. 报价应为人民币含税全包价，包含人工费、管理费、运输费、税金及风险费用等与本项目有关的一切费用。</w:t>
            </w:r>
          </w:p>
          <w:p w14:paraId="5C8593A2">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（五）付款方式</w:t>
            </w:r>
          </w:p>
          <w:p w14:paraId="364B8CF0">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1.本项目分三期支付；</w:t>
            </w:r>
          </w:p>
          <w:p w14:paraId="5C84C839">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2.签订合</w:t>
            </w:r>
            <w:r>
              <w:rPr>
                <w:rFonts w:hint="eastAsia" w:ascii="宋体" w:hAnsi="宋体" w:eastAsia="宋体" w:cs="宋体"/>
                <w:color w:val="auto"/>
                <w:kern w:val="2"/>
                <w:sz w:val="21"/>
                <w:szCs w:val="21"/>
                <w:lang w:val="en-US" w:eastAsia="zh-CN"/>
              </w:rPr>
              <w:t>同</w:t>
            </w:r>
            <w:r>
              <w:rPr>
                <w:rFonts w:hint="eastAsia" w:ascii="宋体" w:hAnsi="宋体" w:eastAsia="宋体" w:cs="宋体"/>
                <w:color w:val="auto"/>
                <w:kern w:val="2"/>
                <w:sz w:val="21"/>
                <w:szCs w:val="21"/>
              </w:rPr>
              <w:t>后15个工作日内支付总款项的60%，项目最终验收合格后，15个工作日内支付总款项的35%，项目质保期结束后，15个工作日内支付总款项的5%。</w:t>
            </w:r>
          </w:p>
          <w:p w14:paraId="5F62BCB7">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color w:val="FF0000"/>
                <w:kern w:val="2"/>
                <w:sz w:val="21"/>
                <w:szCs w:val="21"/>
              </w:rPr>
            </w:pPr>
            <w:r>
              <w:rPr>
                <w:rFonts w:hint="eastAsia" w:ascii="宋体" w:hAnsi="宋体" w:eastAsia="宋体" w:cs="宋体"/>
                <w:color w:val="auto"/>
                <w:kern w:val="2"/>
                <w:sz w:val="21"/>
                <w:szCs w:val="21"/>
              </w:rPr>
              <w:t>3</w:t>
            </w:r>
            <w:r>
              <w:rPr>
                <w:rFonts w:hint="eastAsia" w:ascii="宋体" w:hAnsi="宋体" w:eastAsia="宋体" w:cs="宋体"/>
                <w:color w:val="auto"/>
                <w:kern w:val="2"/>
                <w:sz w:val="21"/>
                <w:szCs w:val="21"/>
                <w:lang w:val="en-US" w:eastAsia="zh-CN"/>
              </w:rPr>
              <w:t>.</w:t>
            </w:r>
            <w:r>
              <w:rPr>
                <w:rFonts w:hint="eastAsia" w:ascii="宋体" w:hAnsi="宋体" w:eastAsia="宋体" w:cs="宋体"/>
                <w:color w:val="auto"/>
                <w:kern w:val="2"/>
                <w:sz w:val="21"/>
                <w:szCs w:val="21"/>
              </w:rPr>
              <w:t>每笔款项支付时，供应商同时向采购人提供相应金额的正式发票或效力等同于发票的票据。</w:t>
            </w:r>
            <w:r>
              <w:rPr>
                <w:rFonts w:hint="eastAsia" w:ascii="宋体" w:hAnsi="宋体" w:eastAsia="宋体" w:cs="宋体"/>
                <w:color w:val="FF0000"/>
                <w:kern w:val="2"/>
                <w:sz w:val="21"/>
                <w:szCs w:val="21"/>
              </w:rPr>
              <w:t xml:space="preserve"> </w:t>
            </w:r>
          </w:p>
          <w:p w14:paraId="3F7ADF88">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备注：采购人在前款规定的付款时间为向政府采购支付部门提出办理财政支付申请手续的时间（不含政府财政支付部门审核的时间），在规定时间内提出支付申请手续后即视为采购人已经按期支付。</w:t>
            </w:r>
          </w:p>
          <w:p w14:paraId="155F9E42">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b/>
                <w:bCs/>
                <w:kern w:val="2"/>
                <w:sz w:val="21"/>
                <w:szCs w:val="21"/>
              </w:rPr>
            </w:pPr>
            <w:r>
              <w:rPr>
                <w:rFonts w:hint="eastAsia" w:ascii="宋体" w:hAnsi="宋体" w:eastAsia="宋体" w:cs="宋体"/>
                <w:b/>
                <w:bCs/>
                <w:kern w:val="2"/>
                <w:sz w:val="21"/>
                <w:szCs w:val="21"/>
              </w:rPr>
              <w:t>（六）违约责任与赔偿损失</w:t>
            </w:r>
          </w:p>
          <w:p w14:paraId="20283BE7">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1.成交供应商交付的货物、提供的服务不符合本项目规定的，采购人有权拒收，并且成交供应商须向采购人支付本合同总价5%的违约金。</w:t>
            </w:r>
          </w:p>
          <w:p w14:paraId="40698C11">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2.成交供应商未能按本项目规定的服务期交付货物/提供服务，从逾期之日起每日按本合同总价3‰的数额向采购人支付违约金；逾期半个月以上的，采购人有权终止合同，由此造成的采购人经济损失由成交供应商承担。</w:t>
            </w:r>
          </w:p>
          <w:p w14:paraId="5DC2854A">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3.采购人无正当理由拒收货物/接受服务，到期拒付货物/服务款项的，采购人向成交供应商偿付本合同总的5%的违约金。采购人逾期付款，则每日按本合同总价的3‰向成交供应商偿付违约金。</w:t>
            </w:r>
          </w:p>
          <w:p w14:paraId="28FF66B1">
            <w:pPr>
              <w:pStyle w:val="2"/>
              <w:keepNext w:val="0"/>
              <w:keepLines w:val="0"/>
              <w:pageBreakBefore w:val="0"/>
              <w:kinsoku/>
              <w:wordWrap/>
              <w:overflowPunct/>
              <w:topLinePunct w:val="0"/>
              <w:bidi w:val="0"/>
              <w:snapToGrid/>
              <w:spacing w:line="340" w:lineRule="exact"/>
              <w:ind w:left="0" w:leftChars="0" w:firstLine="0" w:firstLineChars="0"/>
              <w:rPr>
                <w:rFonts w:hint="eastAsia" w:ascii="宋体" w:hAnsi="宋体" w:eastAsia="宋体" w:cs="宋体"/>
                <w:sz w:val="21"/>
                <w:szCs w:val="21"/>
              </w:rPr>
            </w:pPr>
            <w:r>
              <w:rPr>
                <w:rFonts w:hint="eastAsia" w:ascii="宋体" w:hAnsi="宋体" w:eastAsia="宋体" w:cs="宋体"/>
                <w:kern w:val="2"/>
                <w:sz w:val="21"/>
                <w:szCs w:val="21"/>
              </w:rPr>
              <w:t>4.其它违约责任按《中华人民共和国民法典》处理。</w:t>
            </w:r>
          </w:p>
          <w:p w14:paraId="1270F1D5">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p>
        </w:tc>
        <w:tc>
          <w:tcPr>
            <w:tcW w:w="1063" w:type="dxa"/>
            <w:tcBorders>
              <w:top w:val="single" w:color="000000" w:sz="4" w:space="0"/>
              <w:left w:val="single" w:color="000000" w:sz="4" w:space="0"/>
              <w:bottom w:val="single" w:color="000000" w:sz="4" w:space="0"/>
              <w:right w:val="single" w:color="000000" w:sz="4" w:space="0"/>
            </w:tcBorders>
            <w:shd w:val="clear"/>
            <w:vAlign w:val="center"/>
          </w:tcPr>
          <w:p w14:paraId="01760FB1">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14:paraId="230E780F">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27" w:type="dxa"/>
            <w:tcBorders>
              <w:top w:val="single" w:color="000000" w:sz="4" w:space="0"/>
              <w:left w:val="single" w:color="000000" w:sz="4" w:space="0"/>
              <w:bottom w:val="single" w:color="000000" w:sz="4" w:space="0"/>
              <w:right w:val="single" w:color="000000" w:sz="4" w:space="0"/>
            </w:tcBorders>
            <w:shd w:val="clear"/>
            <w:vAlign w:val="center"/>
          </w:tcPr>
          <w:p w14:paraId="4F0EC9B2">
            <w:pPr>
              <w:keepNext w:val="0"/>
              <w:keepLines w:val="0"/>
              <w:pageBreakBefore w:val="0"/>
              <w:widowControl/>
              <w:suppressLineNumbers w:val="0"/>
              <w:kinsoku/>
              <w:wordWrap/>
              <w:overflowPunct/>
              <w:topLinePunct w:val="0"/>
              <w:bidi w:val="0"/>
              <w:snapToGrid/>
              <w:spacing w:line="34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18" w:type="dxa"/>
            <w:tcBorders>
              <w:top w:val="single" w:color="000000" w:sz="4" w:space="0"/>
              <w:left w:val="single" w:color="000000" w:sz="4" w:space="0"/>
              <w:bottom w:val="single" w:color="000000" w:sz="4" w:space="0"/>
              <w:right w:val="single" w:color="000000" w:sz="4" w:space="0"/>
            </w:tcBorders>
            <w:shd w:val="clear"/>
            <w:vAlign w:val="center"/>
          </w:tcPr>
          <w:p w14:paraId="011D942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vAlign w:val="center"/>
          </w:tcPr>
          <w:p w14:paraId="5E6E6525">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kern w:val="0"/>
                <w:sz w:val="21"/>
                <w:szCs w:val="21"/>
                <w:u w:val="none"/>
                <w:bdr w:val="none" w:color="auto" w:sz="0" w:space="0"/>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836" w:type="dxa"/>
            <w:gridSpan w:val="6"/>
            <w:tcBorders>
              <w:top w:val="single" w:color="000000" w:sz="4" w:space="0"/>
              <w:left w:val="single" w:color="000000" w:sz="4" w:space="0"/>
              <w:bottom w:val="single" w:color="000000" w:sz="4" w:space="0"/>
              <w:right w:val="single" w:color="000000" w:sz="4" w:space="0"/>
            </w:tcBorders>
            <w:shd w:val="clear"/>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报价合计(元）</w:t>
            </w:r>
          </w:p>
        </w:tc>
        <w:tc>
          <w:tcPr>
            <w:tcW w:w="1245" w:type="dxa"/>
            <w:gridSpan w:val="2"/>
            <w:tcBorders>
              <w:top w:val="single" w:color="000000" w:sz="4" w:space="0"/>
              <w:left w:val="single" w:color="000000" w:sz="4" w:space="0"/>
              <w:bottom w:val="single" w:color="000000" w:sz="4" w:space="0"/>
              <w:right w:val="single" w:color="000000" w:sz="4" w:space="0"/>
            </w:tcBorders>
            <w:shd w:val="clear"/>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7696A3CB"/>
    <w:p w14:paraId="7D8709F0">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3DE40"/>
    <w:multiLevelType w:val="singleLevel"/>
    <w:tmpl w:val="07C3DE40"/>
    <w:lvl w:ilvl="0" w:tentative="0">
      <w:start w:val="1"/>
      <w:numFmt w:val="chineseCounting"/>
      <w:suff w:val="nothing"/>
      <w:lvlText w:val="（%1）"/>
      <w:lvlJc w:val="left"/>
      <w:rPr>
        <w:rFonts w:hint="eastAsia"/>
      </w:rPr>
    </w:lvl>
  </w:abstractNum>
  <w:abstractNum w:abstractNumId="1">
    <w:nsid w:val="3DBCA515"/>
    <w:multiLevelType w:val="singleLevel"/>
    <w:tmpl w:val="3DBCA51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22035426"/>
    <w:rsid w:val="25A03144"/>
    <w:rsid w:val="308B46F0"/>
    <w:rsid w:val="4D2E66D8"/>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8</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2025-09-15T10:05:26Z</dcterms:created>
  <dc:creator>123</dc:creator>
  <cp:lastModifiedBy>Daishaoc</cp:lastModifiedBy>
  <dcterms:modified xsi:type="dcterms:W3CDTF">2025-09-15T10:17:18Z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BCCA7EA7B0534042A7A401879EC817F2_12</vt:lpwstr>
  </property>
</Properties>
</file>