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0F1094D2">
      <w:pPr>
        <w:spacing w:line="360" w:lineRule="auto"/>
        <w:jc w:val="both"/>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电子询价项目名称：韶关市气象局2025年中央自然灾害救灾保障物资（装备）采购项目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电子询价项目编号：2026-163-SGZX-DZX                                                       预算金额：¥200,000.00</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韶关市气象局2025年中央自然灾害救灾保障物资（装备）采购项目</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C65A">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一、采购项目概况</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6763"/>
            </w:tblGrid>
            <w:tr w14:paraId="56F9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14:paraId="7216DBE0">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14:paraId="043FC8AC">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韶关市气象局2025年中央自然灾害救灾保障物资（装备）采购项目</w:t>
                  </w:r>
                </w:p>
              </w:tc>
            </w:tr>
            <w:tr w14:paraId="383C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14:paraId="63F1E06D">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14:paraId="3DD138A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2026-163-SGZX-DZX</w:t>
                  </w:r>
                </w:p>
              </w:tc>
            </w:tr>
            <w:tr w14:paraId="5A95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45B64381">
                  <w:pPr>
                    <w:spacing w:line="360" w:lineRule="auto"/>
                    <w:jc w:val="center"/>
                    <w:rPr>
                      <w:rFonts w:hint="eastAsia" w:ascii="宋体" w:hAnsi="宋体" w:eastAsia="宋体" w:cs="宋体"/>
                      <w:i w:val="0"/>
                      <w:iCs w:val="0"/>
                      <w:color w:val="auto"/>
                      <w:sz w:val="21"/>
                      <w:szCs w:val="21"/>
                      <w:highlight w:val="none"/>
                    </w:rPr>
                  </w:pPr>
                  <w:bookmarkStart w:id="43" w:name="_GoBack"/>
                  <w:bookmarkEnd w:id="43"/>
                  <w:r>
                    <w:rPr>
                      <w:rFonts w:hint="eastAsia" w:ascii="宋体" w:hAnsi="宋体" w:eastAsia="宋体" w:cs="宋体"/>
                      <w:i w:val="0"/>
                      <w:iCs w:val="0"/>
                      <w:color w:val="auto"/>
                      <w:sz w:val="21"/>
                      <w:szCs w:val="21"/>
                      <w:highlight w:val="none"/>
                    </w:rPr>
                    <w:t>采购品目编码</w:t>
                  </w:r>
                </w:p>
              </w:tc>
              <w:tc>
                <w:tcPr>
                  <w:tcW w:w="6422" w:type="dxa"/>
                  <w:noWrap w:val="0"/>
                  <w:vAlign w:val="center"/>
                </w:tcPr>
                <w:p w14:paraId="77BBABC5">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color w:val="auto"/>
                      <w:sz w:val="21"/>
                      <w:szCs w:val="21"/>
                      <w:lang w:val="en-US" w:eastAsia="zh-CN"/>
                    </w:rPr>
                    <w:t>A02101700气象仪器</w:t>
                  </w:r>
                </w:p>
              </w:tc>
            </w:tr>
            <w:tr w14:paraId="7C76C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14:paraId="508D37D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14:paraId="00377D38">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4BDC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14:paraId="71ABF4B8">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14:paraId="30EA2F81">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200,000.00元</w:t>
                  </w:r>
                </w:p>
              </w:tc>
            </w:tr>
            <w:tr w14:paraId="37F4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19E9360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14:paraId="5B3A4C21">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2BFE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5413616E">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14:paraId="5C236236">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083B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7A35E2FA">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14:paraId="6274919B">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广东省韶关市气象局</w:t>
                  </w:r>
                </w:p>
              </w:tc>
            </w:tr>
            <w:tr w14:paraId="714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14:paraId="4407B06E">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14:paraId="713C153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5D742F3D">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采购需求一览表</w:t>
            </w:r>
          </w:p>
          <w:tbl>
            <w:tblPr>
              <w:tblStyle w:val="4"/>
              <w:tblW w:w="4998" w:type="pct"/>
              <w:jc w:val="center"/>
              <w:tblLayout w:type="fixed"/>
              <w:tblCellMar>
                <w:top w:w="0" w:type="dxa"/>
                <w:left w:w="0" w:type="dxa"/>
                <w:bottom w:w="0" w:type="dxa"/>
                <w:right w:w="0" w:type="dxa"/>
              </w:tblCellMar>
            </w:tblPr>
            <w:tblGrid>
              <w:gridCol w:w="546"/>
              <w:gridCol w:w="2358"/>
              <w:gridCol w:w="672"/>
              <w:gridCol w:w="2728"/>
              <w:gridCol w:w="1182"/>
              <w:gridCol w:w="1496"/>
            </w:tblGrid>
            <w:tr w14:paraId="7778FF79">
              <w:tblPrEx>
                <w:tblCellMar>
                  <w:top w:w="0" w:type="dxa"/>
                  <w:left w:w="0" w:type="dxa"/>
                  <w:bottom w:w="0" w:type="dxa"/>
                  <w:right w:w="0" w:type="dxa"/>
                </w:tblCellMar>
              </w:tblPrEx>
              <w:trPr>
                <w:trHeight w:val="402" w:hRule="atLeast"/>
                <w:jc w:val="center"/>
              </w:trPr>
              <w:tc>
                <w:tcPr>
                  <w:tcW w:w="3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4E2C4C">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1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E60C55E">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852DF5B">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B810A6D">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65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FCC050">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D81F6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140B296B">
              <w:tblPrEx>
                <w:tblCellMar>
                  <w:top w:w="0" w:type="dxa"/>
                  <w:left w:w="0" w:type="dxa"/>
                  <w:bottom w:w="0" w:type="dxa"/>
                  <w:right w:w="0" w:type="dxa"/>
                </w:tblCellMar>
              </w:tblPrEx>
              <w:trPr>
                <w:trHeight w:val="876" w:hRule="atLeast"/>
                <w:jc w:val="center"/>
              </w:trPr>
              <w:tc>
                <w:tcPr>
                  <w:tcW w:w="3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714E0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31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85DF69D">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auto"/>
                      <w:sz w:val="21"/>
                      <w:szCs w:val="21"/>
                      <w:highlight w:val="none"/>
                      <w:lang w:eastAsia="zh-CN"/>
                    </w:rPr>
                    <w:t>韶关市气象局2025年中央自然灾害救灾保障物资（装备）采购项目</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64A1D21">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rPr>
                    <w:t>1项</w:t>
                  </w:r>
                </w:p>
              </w:tc>
              <w:tc>
                <w:tcPr>
                  <w:tcW w:w="1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FABB13F">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rPr>
                    <w:t>详见本项目服务要求</w:t>
                  </w:r>
                </w:p>
              </w:tc>
              <w:tc>
                <w:tcPr>
                  <w:tcW w:w="65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8BB4BA">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自合同签订之日起1个月内</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FCCC286">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lang w:val="en-US" w:eastAsia="zh-CN"/>
                    </w:rPr>
                    <w:t>200,000.00</w:t>
                  </w:r>
                </w:p>
              </w:tc>
            </w:tr>
          </w:tbl>
          <w:p w14:paraId="17F2E7B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lang w:val="en-US" w:eastAsia="zh-CN"/>
              </w:rPr>
              <w:t>三、采购清单</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5054"/>
              <w:gridCol w:w="2994"/>
            </w:tblGrid>
            <w:tr w14:paraId="05CA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3EA0EC79">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序号</w:t>
                  </w:r>
                </w:p>
              </w:tc>
              <w:tc>
                <w:tcPr>
                  <w:tcW w:w="2816" w:type="pct"/>
                  <w:noWrap w:val="0"/>
                  <w:vAlign w:val="top"/>
                </w:tcPr>
                <w:p w14:paraId="640C22D3">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设备</w:t>
                  </w:r>
                </w:p>
              </w:tc>
              <w:tc>
                <w:tcPr>
                  <w:tcW w:w="1668" w:type="pct"/>
                  <w:noWrap w:val="0"/>
                  <w:vAlign w:val="top"/>
                </w:tcPr>
                <w:p w14:paraId="6A28489D">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数量</w:t>
                  </w:r>
                </w:p>
              </w:tc>
            </w:tr>
            <w:tr w14:paraId="5F1D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2247AE2A">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c>
                <w:tcPr>
                  <w:tcW w:w="2816" w:type="pct"/>
                  <w:noWrap w:val="0"/>
                  <w:vAlign w:val="top"/>
                </w:tcPr>
                <w:p w14:paraId="626FC79D">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湿度传感器</w:t>
                  </w:r>
                </w:p>
              </w:tc>
              <w:tc>
                <w:tcPr>
                  <w:tcW w:w="1668" w:type="pct"/>
                  <w:noWrap w:val="0"/>
                  <w:vAlign w:val="top"/>
                </w:tcPr>
                <w:p w14:paraId="7DE70DA4">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4</w:t>
                  </w:r>
                </w:p>
              </w:tc>
            </w:tr>
            <w:tr w14:paraId="6626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0276FCE3">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2</w:t>
                  </w:r>
                </w:p>
              </w:tc>
              <w:tc>
                <w:tcPr>
                  <w:tcW w:w="2816" w:type="pct"/>
                  <w:noWrap w:val="0"/>
                  <w:vAlign w:val="top"/>
                </w:tcPr>
                <w:p w14:paraId="5E2EEE04">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自动气象站电池（100Ah）</w:t>
                  </w:r>
                </w:p>
              </w:tc>
              <w:tc>
                <w:tcPr>
                  <w:tcW w:w="1668" w:type="pct"/>
                  <w:noWrap w:val="0"/>
                  <w:vAlign w:val="top"/>
                </w:tcPr>
                <w:p w14:paraId="57175F52">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30</w:t>
                  </w:r>
                </w:p>
              </w:tc>
            </w:tr>
            <w:tr w14:paraId="2DFE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1C44BEBB">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3</w:t>
                  </w:r>
                </w:p>
              </w:tc>
              <w:tc>
                <w:tcPr>
                  <w:tcW w:w="2816" w:type="pct"/>
                  <w:noWrap w:val="0"/>
                  <w:vAlign w:val="top"/>
                </w:tcPr>
                <w:p w14:paraId="43406D69">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便携式自动气象站</w:t>
                  </w:r>
                </w:p>
              </w:tc>
              <w:tc>
                <w:tcPr>
                  <w:tcW w:w="1668" w:type="pct"/>
                  <w:noWrap w:val="0"/>
                  <w:vAlign w:val="top"/>
                </w:tcPr>
                <w:p w14:paraId="4B1CC9A8">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r w14:paraId="4C85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65A1281B">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4</w:t>
                  </w:r>
                </w:p>
              </w:tc>
              <w:tc>
                <w:tcPr>
                  <w:tcW w:w="2816" w:type="pct"/>
                  <w:noWrap w:val="0"/>
                  <w:vAlign w:val="top"/>
                </w:tcPr>
                <w:p w14:paraId="7C80A256">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雷达信息处理中心不间断电源切换模块</w:t>
                  </w:r>
                </w:p>
              </w:tc>
              <w:tc>
                <w:tcPr>
                  <w:tcW w:w="1668" w:type="pct"/>
                  <w:noWrap w:val="0"/>
                  <w:vAlign w:val="top"/>
                </w:tcPr>
                <w:p w14:paraId="08BEAE3A">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r w14:paraId="467D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4F373B46">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5</w:t>
                  </w:r>
                </w:p>
              </w:tc>
              <w:tc>
                <w:tcPr>
                  <w:tcW w:w="2816" w:type="pct"/>
                  <w:noWrap w:val="0"/>
                  <w:vAlign w:val="top"/>
                </w:tcPr>
                <w:p w14:paraId="3B89C348">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突发事件预警信息发布中心指挥大屏视频收发器</w:t>
                  </w:r>
                </w:p>
              </w:tc>
              <w:tc>
                <w:tcPr>
                  <w:tcW w:w="1668" w:type="pct"/>
                  <w:noWrap w:val="0"/>
                  <w:vAlign w:val="top"/>
                </w:tcPr>
                <w:p w14:paraId="53078325">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6</w:t>
                  </w:r>
                </w:p>
              </w:tc>
            </w:tr>
            <w:tr w14:paraId="1523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1007F12B">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6</w:t>
                  </w:r>
                </w:p>
              </w:tc>
              <w:tc>
                <w:tcPr>
                  <w:tcW w:w="2816" w:type="pct"/>
                  <w:noWrap w:val="0"/>
                  <w:vAlign w:val="center"/>
                </w:tcPr>
                <w:p w14:paraId="4D6B1A73">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自动气象站备件（采集器、接线板、10个温度传感器）</w:t>
                  </w:r>
                </w:p>
              </w:tc>
              <w:tc>
                <w:tcPr>
                  <w:tcW w:w="1668" w:type="pct"/>
                  <w:noWrap w:val="0"/>
                  <w:vAlign w:val="center"/>
                </w:tcPr>
                <w:p w14:paraId="01011408">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2</w:t>
                  </w:r>
                </w:p>
              </w:tc>
            </w:tr>
            <w:tr w14:paraId="170D4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4A825600">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7</w:t>
                  </w:r>
                </w:p>
              </w:tc>
              <w:tc>
                <w:tcPr>
                  <w:tcW w:w="2816" w:type="pct"/>
                  <w:noWrap w:val="0"/>
                  <w:vAlign w:val="center"/>
                </w:tcPr>
                <w:p w14:paraId="64491D51">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云岩交通气象站太阳能供电系统改造</w:t>
                  </w:r>
                </w:p>
              </w:tc>
              <w:tc>
                <w:tcPr>
                  <w:tcW w:w="1668" w:type="pct"/>
                  <w:noWrap w:val="0"/>
                  <w:vAlign w:val="center"/>
                </w:tcPr>
                <w:p w14:paraId="1D787334">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r w14:paraId="38B0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7A586991">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8</w:t>
                  </w:r>
                </w:p>
              </w:tc>
              <w:tc>
                <w:tcPr>
                  <w:tcW w:w="2816" w:type="pct"/>
                  <w:noWrap w:val="0"/>
                  <w:vAlign w:val="center"/>
                </w:tcPr>
                <w:p w14:paraId="31F62C7D">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机电学校自动气象站迁移（采集器、雨量、风塔）</w:t>
                  </w:r>
                </w:p>
              </w:tc>
              <w:tc>
                <w:tcPr>
                  <w:tcW w:w="1668" w:type="pct"/>
                  <w:noWrap w:val="0"/>
                  <w:vAlign w:val="center"/>
                </w:tcPr>
                <w:p w14:paraId="44577C5F">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r w14:paraId="7DE4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2F28D952">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9</w:t>
                  </w:r>
                </w:p>
              </w:tc>
              <w:tc>
                <w:tcPr>
                  <w:tcW w:w="2816" w:type="pct"/>
                  <w:noWrap w:val="0"/>
                  <w:vAlign w:val="center"/>
                </w:tcPr>
                <w:p w14:paraId="690F90A0">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乐园自动气象站设备迁移（采集器、雨量基座）</w:t>
                  </w:r>
                </w:p>
              </w:tc>
              <w:tc>
                <w:tcPr>
                  <w:tcW w:w="1668" w:type="pct"/>
                  <w:noWrap w:val="0"/>
                  <w:vAlign w:val="center"/>
                </w:tcPr>
                <w:p w14:paraId="29BB289C">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r w14:paraId="0950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noWrap w:val="0"/>
                  <w:vAlign w:val="top"/>
                </w:tcPr>
                <w:p w14:paraId="6E9C2845">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10</w:t>
                  </w:r>
                </w:p>
              </w:tc>
              <w:tc>
                <w:tcPr>
                  <w:tcW w:w="2816" w:type="pct"/>
                  <w:noWrap w:val="0"/>
                  <w:vAlign w:val="center"/>
                </w:tcPr>
                <w:p w14:paraId="05F594BD">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人工校准雨量筒</w:t>
                  </w:r>
                </w:p>
              </w:tc>
              <w:tc>
                <w:tcPr>
                  <w:tcW w:w="1668" w:type="pct"/>
                  <w:noWrap w:val="0"/>
                  <w:vAlign w:val="center"/>
                </w:tcPr>
                <w:p w14:paraId="6C2E07C8">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lang w:val="en-US" w:eastAsia="zh-CN"/>
                    </w:rPr>
                    <w:t>1</w:t>
                  </w:r>
                </w:p>
              </w:tc>
            </w:tr>
          </w:tbl>
          <w:p w14:paraId="767E466C">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采购项目技术要求</w:t>
            </w:r>
          </w:p>
          <w:p w14:paraId="165D214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（一）采集器</w:t>
            </w:r>
          </w:p>
          <w:p w14:paraId="2BC11359">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数据采集器是自动气象站的核心，主要完成数据采集、数据处理、数据存储、输出传输和系统运行管理功能。数据采集器一般由传感器接口电路、微处理器、存储器和通信接口等主要模块组成。</w:t>
            </w:r>
          </w:p>
          <w:p w14:paraId="4E4696C8">
            <w:pPr>
              <w:suppressAutoHyphens/>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数据采集</w:t>
            </w:r>
          </w:p>
          <w:p w14:paraId="067D6E39">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采集功能是系统采集由气象传感器产生的与气象要素变化相适应的电信号。气象传感器产生的电信号根据传感器不同可能是模拟量信号，如铂电阻温度传感器、电容式湿度传感器等；可能是数字量信号或开关脉冲信号，如三杯式螺旋桨式风向、风速传感器、翻斗雨量传感器等；也可能是智能传感器通过通信口输出气象数据信号，如PTB330气压传感器等。</w:t>
            </w:r>
          </w:p>
          <w:p w14:paraId="6A4C2871">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（1）对传感器按预定的采样频率进行扫描和将获得的电信号转换成微控制器可读信号，得到气象变量测量值序列。</w:t>
            </w:r>
          </w:p>
          <w:p w14:paraId="5CA8C18D">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（2）气象变量测量值进行转换，使传感器输出的电信号转换成气象单位量，得到采样瞬时值。</w:t>
            </w:r>
          </w:p>
          <w:p w14:paraId="63AEF4A3">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（3）对采样瞬时值根据规定的算法，计算出瞬时气象值，又称气象变量瞬时值。</w:t>
            </w:r>
          </w:p>
          <w:p w14:paraId="10478D57">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（4）实现数据质量检查。</w:t>
            </w:r>
          </w:p>
          <w:p w14:paraId="3252647D">
            <w:pPr>
              <w:suppressAutoHyphens/>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数据处理</w:t>
            </w:r>
          </w:p>
          <w:p w14:paraId="38560222">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数据处理功能是系统对采集到的数据进行计算处理、计算参数修正、算法处理、量值的标度变化、数据质量控制、系统自检、故障判断等。</w:t>
            </w:r>
          </w:p>
          <w:p w14:paraId="42DA5D15">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（1）导出气象观测需要的其他气象变量瞬时值；这种导出通常是在数据采集获得的气象变量瞬时值基础上进行的，也有通过更高频率的采样过程获得的，如瞬时风计算、海平面气压计算等。</w:t>
            </w:r>
          </w:p>
          <w:p w14:paraId="5B63F57C">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（2）计算出气象观测需要的统计量，如一个或多个时段内的极值数据、专门时段内的总量、不同时段内的平均值以及累计量等，如日最高、最低气温、日累计雨量等。</w:t>
            </w:r>
          </w:p>
          <w:p w14:paraId="40670A9C">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（3）由主采集器生成采样瞬时值数据、瞬时气象值（分钟）数据、小时正点数据和监控数据，并写入数据内存储器。</w:t>
            </w:r>
          </w:p>
          <w:p w14:paraId="32C9F325">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（4）实现数据质量检查。</w:t>
            </w:r>
          </w:p>
          <w:p w14:paraId="0A88B82A">
            <w:pPr>
              <w:suppressAutoHyphens/>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数据存储</w:t>
            </w:r>
          </w:p>
          <w:p w14:paraId="30E18815">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数据存储功能是对处理后的数据按一定的格式进行保存，其存储容量根据实际需要而定。保存的数据内容也根据需要而定，可以是分钟数据，也可以是小时数据。</w:t>
            </w:r>
          </w:p>
          <w:p w14:paraId="5E959275">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数据存储可以使用循环式存储器结构，即允许最新的数据覆盖旧数据。采集器内部的数据存储器容量应有50%的余量，具体可以在考核要素确定后规定一个量化的最小值。</w:t>
            </w:r>
          </w:p>
          <w:p w14:paraId="2BB508C4">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采集内部的数据存储器应具备掉电保存功能。</w:t>
            </w:r>
          </w:p>
          <w:p w14:paraId="37C60F0E">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采集数据在外存储器（卡）以文件方式进行存储，能够存储至少15天全要素正点数据。</w:t>
            </w:r>
          </w:p>
          <w:p w14:paraId="36978945">
            <w:pPr>
              <w:suppressAutoHyphens/>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数据传输</w:t>
            </w:r>
          </w:p>
          <w:p w14:paraId="716B0C77">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数据传输功能是指将自动气象站采集并处理后的数据传输给上一级处理系统或中心站。它可以通过有线通信如RS232、RS485、网络、专网等，也可以通过无线通信如GPRS/CDMA、卫星通信等。</w:t>
            </w:r>
          </w:p>
          <w:p w14:paraId="0421706B">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（1）本地传输</w:t>
            </w:r>
          </w:p>
          <w:p w14:paraId="58CC4D01">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配置终端计算机的自动气象站，采集器把数据传送到计算机。根据响应方式不同数据传输可分为：自动气象站根据时间表正常运行时的自动传输、响应终端命令的传输和超过某个设定的气象阈值自动气象站进入报警状态的传输。</w:t>
            </w:r>
          </w:p>
          <w:p w14:paraId="18F13459">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多数应用场合自动气象站应同时具有三种传输方式。自动气象站正常运行时自动传输的时间表和报警的气象阈值可以通过终端命令或业务软件由用户设定。终端计算机与主采集器间的信号传输距离应不小于200米。在规定的传输距离内，信号传送质量不应因改变线缆的长度而降低。</w:t>
            </w:r>
          </w:p>
          <w:p w14:paraId="4A93B547">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（2）远程通信传输</w:t>
            </w:r>
          </w:p>
          <w:p w14:paraId="501997D3">
            <w:pPr>
              <w:suppressAutoHyphens/>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自动气象站应具备无线方式或网络方式进行数据传输的功能。这种传输一般是通过主采集器的通信接口（RS232）外加远程通信设备（如4G/CDMA1X等）或RJ45实现。</w:t>
            </w:r>
          </w:p>
          <w:p w14:paraId="379AE1B0">
            <w:pPr>
              <w:widowControl w:val="0"/>
              <w:numPr>
                <w:ilvl w:val="0"/>
                <w:numId w:val="2"/>
              </w:numPr>
              <w:suppressAutoHyphens w:val="0"/>
              <w:spacing w:line="360" w:lineRule="auto"/>
              <w:ind w:left="284" w:right="-17" w:hanging="284" w:firstLineChars="0"/>
              <w:jc w:val="both"/>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自动气象站测量性能</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2569"/>
              <w:gridCol w:w="1749"/>
              <w:gridCol w:w="2973"/>
            </w:tblGrid>
            <w:tr w14:paraId="108E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37" w:type="pct"/>
                  <w:noWrap w:val="0"/>
                  <w:vAlign w:val="center"/>
                </w:tcPr>
                <w:p w14:paraId="7A053B9C">
                  <w:pPr>
                    <w:suppressAutoHyphens/>
                    <w:jc w:val="center"/>
                    <w:rPr>
                      <w:rFonts w:hint="eastAsia" w:ascii="宋体" w:hAnsi="宋体" w:eastAsia="宋体" w:cs="宋体"/>
                      <w:kern w:val="0"/>
                      <w:sz w:val="21"/>
                      <w:szCs w:val="21"/>
                    </w:rPr>
                  </w:pPr>
                  <w:bookmarkStart w:id="0" w:name="_Toc392864115"/>
                  <w:r>
                    <w:rPr>
                      <w:rFonts w:hint="eastAsia" w:ascii="宋体" w:hAnsi="宋体" w:eastAsia="宋体" w:cs="宋体"/>
                      <w:kern w:val="0"/>
                      <w:sz w:val="21"/>
                      <w:szCs w:val="21"/>
                    </w:rPr>
                    <w:t>测量要素</w:t>
                  </w:r>
                </w:p>
              </w:tc>
              <w:tc>
                <w:tcPr>
                  <w:tcW w:w="1431" w:type="pct"/>
                  <w:noWrap w:val="0"/>
                  <w:vAlign w:val="center"/>
                </w:tcPr>
                <w:p w14:paraId="53ED43F5">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范围</w:t>
                  </w:r>
                </w:p>
              </w:tc>
              <w:tc>
                <w:tcPr>
                  <w:tcW w:w="974" w:type="pct"/>
                  <w:noWrap w:val="0"/>
                  <w:vAlign w:val="center"/>
                </w:tcPr>
                <w:p w14:paraId="7CC50A52">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分辨力</w:t>
                  </w:r>
                </w:p>
              </w:tc>
              <w:tc>
                <w:tcPr>
                  <w:tcW w:w="1656" w:type="pct"/>
                  <w:noWrap w:val="0"/>
                  <w:vAlign w:val="center"/>
                </w:tcPr>
                <w:p w14:paraId="422C9D8B">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最大允许误差</w:t>
                  </w:r>
                </w:p>
              </w:tc>
            </w:tr>
            <w:tr w14:paraId="6824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noWrap w:val="0"/>
                  <w:vAlign w:val="center"/>
                </w:tcPr>
                <w:p w14:paraId="5E124F26">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气压</w:t>
                  </w:r>
                </w:p>
              </w:tc>
              <w:tc>
                <w:tcPr>
                  <w:tcW w:w="1431" w:type="pct"/>
                  <w:noWrap w:val="0"/>
                  <w:vAlign w:val="center"/>
                </w:tcPr>
                <w:p w14:paraId="594F2211">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550hPa～1060hPa</w:t>
                  </w:r>
                </w:p>
              </w:tc>
              <w:tc>
                <w:tcPr>
                  <w:tcW w:w="974" w:type="pct"/>
                  <w:noWrap w:val="0"/>
                  <w:vAlign w:val="center"/>
                </w:tcPr>
                <w:p w14:paraId="025CBA30">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0.1hPa</w:t>
                  </w:r>
                </w:p>
              </w:tc>
              <w:tc>
                <w:tcPr>
                  <w:tcW w:w="1656" w:type="pct"/>
                  <w:noWrap w:val="0"/>
                  <w:vAlign w:val="center"/>
                </w:tcPr>
                <w:p w14:paraId="35F87A18">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±0.3hPa</w:t>
                  </w:r>
                </w:p>
              </w:tc>
            </w:tr>
            <w:tr w14:paraId="2997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noWrap w:val="0"/>
                  <w:vAlign w:val="center"/>
                </w:tcPr>
                <w:p w14:paraId="273AD2D4">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气温</w:t>
                  </w:r>
                </w:p>
              </w:tc>
              <w:tc>
                <w:tcPr>
                  <w:tcW w:w="1431" w:type="pct"/>
                  <w:noWrap w:val="0"/>
                  <w:vAlign w:val="center"/>
                </w:tcPr>
                <w:p w14:paraId="0854E2C3">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－50℃～50℃</w:t>
                  </w:r>
                </w:p>
              </w:tc>
              <w:tc>
                <w:tcPr>
                  <w:tcW w:w="974" w:type="pct"/>
                  <w:noWrap w:val="0"/>
                  <w:vAlign w:val="center"/>
                </w:tcPr>
                <w:p w14:paraId="2515EB8D">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0.1℃</w:t>
                  </w:r>
                </w:p>
              </w:tc>
              <w:tc>
                <w:tcPr>
                  <w:tcW w:w="1656" w:type="pct"/>
                  <w:noWrap w:val="0"/>
                  <w:vAlign w:val="center"/>
                </w:tcPr>
                <w:p w14:paraId="562462F8">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±0.2℃</w:t>
                  </w:r>
                </w:p>
              </w:tc>
            </w:tr>
            <w:tr w14:paraId="1D78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vMerge w:val="restart"/>
                  <w:noWrap w:val="0"/>
                  <w:vAlign w:val="center"/>
                </w:tcPr>
                <w:p w14:paraId="0E42CB1A">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相对湿度</w:t>
                  </w:r>
                </w:p>
              </w:tc>
              <w:tc>
                <w:tcPr>
                  <w:tcW w:w="1431" w:type="pct"/>
                  <w:vMerge w:val="restart"/>
                  <w:noWrap w:val="0"/>
                  <w:vAlign w:val="center"/>
                </w:tcPr>
                <w:p w14:paraId="552AE335">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0%～100%</w:t>
                  </w:r>
                </w:p>
              </w:tc>
              <w:tc>
                <w:tcPr>
                  <w:tcW w:w="974" w:type="pct"/>
                  <w:vMerge w:val="restart"/>
                  <w:noWrap w:val="0"/>
                  <w:vAlign w:val="center"/>
                </w:tcPr>
                <w:p w14:paraId="0ADAD94D">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656" w:type="pct"/>
                  <w:noWrap w:val="0"/>
                  <w:vAlign w:val="center"/>
                </w:tcPr>
                <w:p w14:paraId="3D48685C">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±4%（≤80%）</w:t>
                  </w:r>
                </w:p>
              </w:tc>
            </w:tr>
            <w:tr w14:paraId="7665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vMerge w:val="continue"/>
                  <w:noWrap w:val="0"/>
                  <w:vAlign w:val="center"/>
                </w:tcPr>
                <w:p w14:paraId="31A12E28">
                  <w:pPr>
                    <w:suppressAutoHyphens/>
                    <w:jc w:val="center"/>
                    <w:rPr>
                      <w:rFonts w:hint="eastAsia" w:ascii="宋体" w:hAnsi="宋体" w:eastAsia="宋体" w:cs="宋体"/>
                      <w:kern w:val="0"/>
                      <w:sz w:val="21"/>
                      <w:szCs w:val="21"/>
                    </w:rPr>
                  </w:pPr>
                  <w:bookmarkStart w:id="1" w:name="_Toc421013645"/>
                  <w:bookmarkEnd w:id="1"/>
                  <w:bookmarkStart w:id="2" w:name="_Toc421006757"/>
                  <w:bookmarkEnd w:id="2"/>
                  <w:bookmarkStart w:id="3" w:name="_Toc421019741"/>
                  <w:bookmarkEnd w:id="3"/>
                  <w:bookmarkStart w:id="4" w:name="_Toc423917959"/>
                  <w:bookmarkEnd w:id="4"/>
                  <w:bookmarkStart w:id="5" w:name="_Toc421019427"/>
                  <w:bookmarkEnd w:id="5"/>
                  <w:bookmarkStart w:id="6" w:name="_Toc421019886"/>
                  <w:bookmarkEnd w:id="6"/>
                </w:p>
              </w:tc>
              <w:tc>
                <w:tcPr>
                  <w:tcW w:w="1431" w:type="pct"/>
                  <w:vMerge w:val="continue"/>
                  <w:noWrap w:val="0"/>
                  <w:vAlign w:val="center"/>
                </w:tcPr>
                <w:p w14:paraId="0296ADA6">
                  <w:pPr>
                    <w:suppressAutoHyphens/>
                    <w:jc w:val="center"/>
                    <w:rPr>
                      <w:rFonts w:hint="eastAsia" w:ascii="宋体" w:hAnsi="宋体" w:eastAsia="宋体" w:cs="宋体"/>
                      <w:kern w:val="0"/>
                      <w:sz w:val="21"/>
                      <w:szCs w:val="21"/>
                    </w:rPr>
                  </w:pPr>
                  <w:bookmarkStart w:id="7" w:name="_Toc421019887"/>
                  <w:bookmarkEnd w:id="7"/>
                  <w:bookmarkStart w:id="8" w:name="_Toc421006758"/>
                  <w:bookmarkEnd w:id="8"/>
                  <w:bookmarkStart w:id="9" w:name="_Toc421019742"/>
                  <w:bookmarkEnd w:id="9"/>
                  <w:bookmarkStart w:id="10" w:name="_Toc421013646"/>
                  <w:bookmarkEnd w:id="10"/>
                  <w:bookmarkStart w:id="11" w:name="_Toc423917960"/>
                  <w:bookmarkEnd w:id="11"/>
                  <w:bookmarkStart w:id="12" w:name="_Toc421019428"/>
                  <w:bookmarkEnd w:id="12"/>
                </w:p>
              </w:tc>
              <w:tc>
                <w:tcPr>
                  <w:tcW w:w="974" w:type="pct"/>
                  <w:vMerge w:val="continue"/>
                  <w:noWrap w:val="0"/>
                  <w:vAlign w:val="center"/>
                </w:tcPr>
                <w:p w14:paraId="0211BAC0">
                  <w:pPr>
                    <w:suppressAutoHyphens/>
                    <w:jc w:val="center"/>
                    <w:rPr>
                      <w:rFonts w:hint="eastAsia" w:ascii="宋体" w:hAnsi="宋体" w:eastAsia="宋体" w:cs="宋体"/>
                      <w:kern w:val="0"/>
                      <w:sz w:val="21"/>
                      <w:szCs w:val="21"/>
                    </w:rPr>
                  </w:pPr>
                  <w:bookmarkStart w:id="13" w:name="_Toc421013647"/>
                  <w:bookmarkEnd w:id="13"/>
                  <w:bookmarkStart w:id="14" w:name="_Toc421006759"/>
                  <w:bookmarkEnd w:id="14"/>
                  <w:bookmarkStart w:id="15" w:name="_Toc421019429"/>
                  <w:bookmarkEnd w:id="15"/>
                  <w:bookmarkStart w:id="16" w:name="_Toc421019743"/>
                  <w:bookmarkEnd w:id="16"/>
                  <w:bookmarkStart w:id="17" w:name="_Toc421019888"/>
                  <w:bookmarkEnd w:id="17"/>
                  <w:bookmarkStart w:id="18" w:name="_Toc423917961"/>
                  <w:bookmarkEnd w:id="18"/>
                </w:p>
              </w:tc>
              <w:tc>
                <w:tcPr>
                  <w:tcW w:w="1656" w:type="pct"/>
                  <w:noWrap w:val="0"/>
                  <w:vAlign w:val="center"/>
                </w:tcPr>
                <w:p w14:paraId="4676EE55">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±8%（＞80%）</w:t>
                  </w:r>
                </w:p>
              </w:tc>
            </w:tr>
            <w:tr w14:paraId="756D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noWrap w:val="0"/>
                  <w:vAlign w:val="center"/>
                </w:tcPr>
                <w:p w14:paraId="38452B76">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风向</w:t>
                  </w:r>
                </w:p>
              </w:tc>
              <w:tc>
                <w:tcPr>
                  <w:tcW w:w="1431" w:type="pct"/>
                  <w:noWrap w:val="0"/>
                  <w:vAlign w:val="center"/>
                </w:tcPr>
                <w:p w14:paraId="49725E72">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0°～360°</w:t>
                  </w:r>
                </w:p>
              </w:tc>
              <w:tc>
                <w:tcPr>
                  <w:tcW w:w="974" w:type="pct"/>
                  <w:noWrap w:val="0"/>
                  <w:vAlign w:val="center"/>
                </w:tcPr>
                <w:p w14:paraId="1D43A14E">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656" w:type="pct"/>
                  <w:noWrap w:val="0"/>
                  <w:vAlign w:val="center"/>
                </w:tcPr>
                <w:p w14:paraId="73F6B7D4">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r>
            <w:tr w14:paraId="1AE9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noWrap w:val="0"/>
                  <w:vAlign w:val="center"/>
                </w:tcPr>
                <w:p w14:paraId="4DBDD53F">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风速</w:t>
                  </w:r>
                </w:p>
              </w:tc>
              <w:tc>
                <w:tcPr>
                  <w:tcW w:w="1431" w:type="pct"/>
                  <w:noWrap w:val="0"/>
                  <w:vAlign w:val="center"/>
                </w:tcPr>
                <w:p w14:paraId="37A9D843">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 m/s～60m/s</w:t>
                  </w:r>
                </w:p>
              </w:tc>
              <w:tc>
                <w:tcPr>
                  <w:tcW w:w="974" w:type="pct"/>
                  <w:noWrap w:val="0"/>
                  <w:vAlign w:val="center"/>
                </w:tcPr>
                <w:p w14:paraId="633853F9">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0.1m/s</w:t>
                  </w:r>
                </w:p>
              </w:tc>
              <w:tc>
                <w:tcPr>
                  <w:tcW w:w="1656" w:type="pct"/>
                  <w:noWrap w:val="0"/>
                  <w:vAlign w:val="center"/>
                </w:tcPr>
                <w:p w14:paraId="4599D8E1">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±（0.5+0.03×示值）m/s</w:t>
                  </w:r>
                </w:p>
              </w:tc>
            </w:tr>
            <w:tr w14:paraId="66B2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vMerge w:val="restart"/>
                  <w:noWrap w:val="0"/>
                  <w:vAlign w:val="center"/>
                </w:tcPr>
                <w:p w14:paraId="3E8BE6DC">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降水量</w:t>
                  </w:r>
                </w:p>
              </w:tc>
              <w:tc>
                <w:tcPr>
                  <w:tcW w:w="1431" w:type="pct"/>
                  <w:vMerge w:val="restart"/>
                  <w:noWrap w:val="0"/>
                  <w:vAlign w:val="center"/>
                </w:tcPr>
                <w:p w14:paraId="20C5F635">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翻斗0.1mm ：雨强0～4mm/min</w:t>
                  </w:r>
                </w:p>
              </w:tc>
              <w:tc>
                <w:tcPr>
                  <w:tcW w:w="974" w:type="pct"/>
                  <w:vMerge w:val="restart"/>
                  <w:noWrap w:val="0"/>
                  <w:vAlign w:val="center"/>
                </w:tcPr>
                <w:p w14:paraId="03ED4F15">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0.1mm</w:t>
                  </w:r>
                </w:p>
              </w:tc>
              <w:tc>
                <w:tcPr>
                  <w:tcW w:w="1656" w:type="pct"/>
                  <w:noWrap w:val="0"/>
                  <w:vAlign w:val="center"/>
                </w:tcPr>
                <w:p w14:paraId="606D460F">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±0.4mm（≤10mm）</w:t>
                  </w:r>
                </w:p>
              </w:tc>
            </w:tr>
            <w:tr w14:paraId="7387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37" w:type="pct"/>
                  <w:vMerge w:val="continue"/>
                  <w:noWrap w:val="0"/>
                  <w:vAlign w:val="center"/>
                </w:tcPr>
                <w:p w14:paraId="6944CFF0">
                  <w:pPr>
                    <w:suppressAutoHyphens/>
                    <w:jc w:val="center"/>
                    <w:rPr>
                      <w:rFonts w:hint="eastAsia" w:ascii="宋体" w:hAnsi="宋体" w:eastAsia="宋体" w:cs="宋体"/>
                      <w:kern w:val="0"/>
                      <w:sz w:val="21"/>
                      <w:szCs w:val="21"/>
                    </w:rPr>
                  </w:pPr>
                  <w:bookmarkStart w:id="19" w:name="_Toc423917962"/>
                  <w:bookmarkEnd w:id="19"/>
                  <w:bookmarkStart w:id="20" w:name="_Toc421019744"/>
                  <w:bookmarkEnd w:id="20"/>
                  <w:bookmarkStart w:id="21" w:name="_Toc421019889"/>
                  <w:bookmarkEnd w:id="21"/>
                  <w:bookmarkStart w:id="22" w:name="_Toc421019430"/>
                  <w:bookmarkEnd w:id="22"/>
                  <w:bookmarkStart w:id="23" w:name="_Toc421013648"/>
                  <w:bookmarkEnd w:id="23"/>
                  <w:bookmarkStart w:id="24" w:name="_Toc421006760"/>
                  <w:bookmarkEnd w:id="24"/>
                </w:p>
              </w:tc>
              <w:tc>
                <w:tcPr>
                  <w:tcW w:w="1431" w:type="pct"/>
                  <w:vMerge w:val="continue"/>
                  <w:noWrap w:val="0"/>
                  <w:vAlign w:val="center"/>
                </w:tcPr>
                <w:p w14:paraId="247ACA66">
                  <w:pPr>
                    <w:suppressAutoHyphens/>
                    <w:jc w:val="center"/>
                    <w:rPr>
                      <w:rFonts w:hint="eastAsia" w:ascii="宋体" w:hAnsi="宋体" w:eastAsia="宋体" w:cs="宋体"/>
                      <w:kern w:val="0"/>
                      <w:sz w:val="21"/>
                      <w:szCs w:val="21"/>
                    </w:rPr>
                  </w:pPr>
                  <w:bookmarkStart w:id="25" w:name="_Toc421019431"/>
                  <w:bookmarkEnd w:id="25"/>
                  <w:bookmarkStart w:id="26" w:name="_Toc421013649"/>
                  <w:bookmarkEnd w:id="26"/>
                  <w:bookmarkStart w:id="27" w:name="_Toc421006761"/>
                  <w:bookmarkEnd w:id="27"/>
                  <w:bookmarkStart w:id="28" w:name="_Toc423917963"/>
                  <w:bookmarkEnd w:id="28"/>
                  <w:bookmarkStart w:id="29" w:name="_Toc421019745"/>
                  <w:bookmarkEnd w:id="29"/>
                  <w:bookmarkStart w:id="30" w:name="_Toc421019890"/>
                  <w:bookmarkEnd w:id="30"/>
                </w:p>
              </w:tc>
              <w:tc>
                <w:tcPr>
                  <w:tcW w:w="974" w:type="pct"/>
                  <w:vMerge w:val="continue"/>
                  <w:noWrap w:val="0"/>
                  <w:vAlign w:val="center"/>
                </w:tcPr>
                <w:p w14:paraId="4345ABFE">
                  <w:pPr>
                    <w:suppressAutoHyphens/>
                    <w:jc w:val="center"/>
                    <w:rPr>
                      <w:rFonts w:hint="eastAsia" w:ascii="宋体" w:hAnsi="宋体" w:eastAsia="宋体" w:cs="宋体"/>
                      <w:kern w:val="0"/>
                      <w:sz w:val="21"/>
                      <w:szCs w:val="21"/>
                    </w:rPr>
                  </w:pPr>
                  <w:bookmarkStart w:id="31" w:name="_Toc421006762"/>
                  <w:bookmarkEnd w:id="31"/>
                  <w:bookmarkStart w:id="32" w:name="_Toc421019746"/>
                  <w:bookmarkEnd w:id="32"/>
                  <w:bookmarkStart w:id="33" w:name="_Toc421019432"/>
                  <w:bookmarkEnd w:id="33"/>
                  <w:bookmarkStart w:id="34" w:name="_Toc421019891"/>
                  <w:bookmarkEnd w:id="34"/>
                  <w:bookmarkStart w:id="35" w:name="_Toc421013650"/>
                  <w:bookmarkEnd w:id="35"/>
                  <w:bookmarkStart w:id="36" w:name="_Toc423917964"/>
                  <w:bookmarkEnd w:id="36"/>
                </w:p>
              </w:tc>
              <w:tc>
                <w:tcPr>
                  <w:tcW w:w="1656" w:type="pct"/>
                  <w:noWrap w:val="0"/>
                  <w:vAlign w:val="center"/>
                </w:tcPr>
                <w:p w14:paraId="67FE6DF3">
                  <w:pPr>
                    <w:suppressAutoHyphens/>
                    <w:jc w:val="center"/>
                    <w:rPr>
                      <w:rFonts w:hint="eastAsia" w:ascii="宋体" w:hAnsi="宋体" w:eastAsia="宋体" w:cs="宋体"/>
                      <w:kern w:val="0"/>
                      <w:sz w:val="21"/>
                      <w:szCs w:val="21"/>
                    </w:rPr>
                  </w:pPr>
                  <w:r>
                    <w:rPr>
                      <w:rFonts w:hint="eastAsia" w:ascii="宋体" w:hAnsi="宋体" w:eastAsia="宋体" w:cs="宋体"/>
                      <w:kern w:val="0"/>
                      <w:sz w:val="21"/>
                      <w:szCs w:val="21"/>
                    </w:rPr>
                    <w:t>±4%（＞10mm）</w:t>
                  </w:r>
                </w:p>
              </w:tc>
            </w:tr>
          </w:tbl>
          <w:p w14:paraId="5504EF77">
            <w:pPr>
              <w:widowControl w:val="0"/>
              <w:numPr>
                <w:ilvl w:val="0"/>
                <w:numId w:val="2"/>
              </w:numPr>
              <w:suppressAutoHyphens w:val="0"/>
              <w:spacing w:line="360" w:lineRule="auto"/>
              <w:ind w:left="284" w:right="-17" w:hanging="284" w:firstLineChars="0"/>
              <w:jc w:val="both"/>
              <w:rPr>
                <w:rFonts w:hint="eastAsia" w:ascii="宋体" w:hAnsi="宋体" w:eastAsia="宋体" w:cs="宋体"/>
                <w:b/>
                <w:bCs/>
                <w:kern w:val="2"/>
                <w:sz w:val="21"/>
                <w:szCs w:val="21"/>
                <w:lang w:val="en-US" w:eastAsia="zh-CN" w:bidi="ar-SA"/>
              </w:rPr>
            </w:pPr>
            <w:bookmarkStart w:id="37" w:name="_Toc421006763"/>
            <w:bookmarkEnd w:id="37"/>
            <w:bookmarkStart w:id="38" w:name="_Toc421013651"/>
            <w:bookmarkEnd w:id="38"/>
            <w:bookmarkStart w:id="39" w:name="_Toc421019747"/>
            <w:bookmarkEnd w:id="39"/>
            <w:bookmarkStart w:id="40" w:name="_Toc421019433"/>
            <w:bookmarkEnd w:id="40"/>
            <w:bookmarkStart w:id="41" w:name="_Toc423917965"/>
            <w:bookmarkEnd w:id="41"/>
            <w:bookmarkStart w:id="42" w:name="_Toc421019892"/>
            <w:bookmarkEnd w:id="42"/>
            <w:r>
              <w:rPr>
                <w:rFonts w:hint="eastAsia" w:ascii="宋体" w:hAnsi="宋体" w:eastAsia="宋体" w:cs="宋体"/>
                <w:b/>
                <w:bCs/>
                <w:kern w:val="2"/>
                <w:sz w:val="21"/>
                <w:szCs w:val="21"/>
                <w:lang w:val="en-US" w:eastAsia="zh-CN" w:bidi="ar-SA"/>
              </w:rPr>
              <w:t>技术指标</w:t>
            </w:r>
            <w:bookmarkEnd w:id="0"/>
          </w:p>
          <w:p w14:paraId="5F3A8D8F">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使用环境条件：</w:t>
            </w:r>
          </w:p>
          <w:p w14:paraId="7DD4F560">
            <w:pPr>
              <w:widowControl w:val="0"/>
              <w:numPr>
                <w:ilvl w:val="0"/>
                <w:numId w:val="3"/>
              </w:numPr>
              <w:suppressAutoHyphens w:val="0"/>
              <w:spacing w:line="360" w:lineRule="auto"/>
              <w:ind w:left="900" w:right="-17" w:hanging="420" w:firstLineChars="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相对湿度：0～100%</w:t>
            </w:r>
          </w:p>
          <w:p w14:paraId="5440EB4C">
            <w:pPr>
              <w:widowControl w:val="0"/>
              <w:numPr>
                <w:ilvl w:val="0"/>
                <w:numId w:val="3"/>
              </w:numPr>
              <w:suppressAutoHyphens w:val="0"/>
              <w:spacing w:line="360" w:lineRule="auto"/>
              <w:ind w:left="900" w:right="-17" w:hanging="420" w:firstLineChars="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抗风：阵风75m/s</w:t>
            </w:r>
          </w:p>
          <w:p w14:paraId="674B4094">
            <w:pPr>
              <w:widowControl w:val="0"/>
              <w:numPr>
                <w:ilvl w:val="0"/>
                <w:numId w:val="3"/>
              </w:numPr>
              <w:suppressAutoHyphens w:val="0"/>
              <w:spacing w:line="360" w:lineRule="auto"/>
              <w:ind w:left="900" w:right="-17" w:hanging="420" w:firstLineChars="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供电：交流220V，直流9～15V</w:t>
            </w:r>
          </w:p>
          <w:p w14:paraId="49548212">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采集器功耗：&lt;5W</w:t>
            </w:r>
          </w:p>
          <w:p w14:paraId="2CBDDD9E">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实时时钟走时误差：&lt;30s/月</w:t>
            </w:r>
          </w:p>
          <w:p w14:paraId="6E737DA4">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交流断电后备供电时间：≥14天</w:t>
            </w:r>
          </w:p>
          <w:p w14:paraId="6CCE8322">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可靠性：平均无故障时间&gt;2500小时</w:t>
            </w:r>
          </w:p>
          <w:p w14:paraId="4CDA80C8">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防雷性能：感应雷电压小于5KV，电流小于1500A，响应时间小于10-12秒。</w:t>
            </w:r>
          </w:p>
          <w:p w14:paraId="1DE6032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（二）采集器软件技术</w:t>
            </w:r>
          </w:p>
          <w:p w14:paraId="7CDF3AE5">
            <w:pPr>
              <w:ind w:firstLine="420" w:firstLineChars="200"/>
              <w:rPr>
                <w:rFonts w:hint="eastAsia" w:ascii="宋体" w:hAnsi="宋体" w:eastAsia="宋体" w:cs="宋体"/>
                <w:sz w:val="21"/>
                <w:szCs w:val="21"/>
              </w:rPr>
            </w:pPr>
            <w:r>
              <w:rPr>
                <w:rFonts w:hint="eastAsia" w:ascii="宋体" w:hAnsi="宋体" w:eastAsia="宋体" w:cs="宋体"/>
                <w:sz w:val="21"/>
                <w:szCs w:val="21"/>
              </w:rPr>
              <w:t>软件的设计完全满足气象行业标准QX/T1-2000《Ⅱ型自动气象站》所规定的算法和功能的要求。</w:t>
            </w:r>
          </w:p>
          <w:p w14:paraId="74A16B3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（三）太阳能电池</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79"/>
              <w:gridCol w:w="1880"/>
              <w:gridCol w:w="4380"/>
              <w:gridCol w:w="1937"/>
            </w:tblGrid>
            <w:tr w14:paraId="4F2A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434" w:type="pct"/>
                  <w:noWrap w:val="0"/>
                  <w:tcMar>
                    <w:top w:w="120" w:type="dxa"/>
                    <w:left w:w="120" w:type="dxa"/>
                    <w:bottom w:w="120" w:type="dxa"/>
                    <w:right w:w="120" w:type="dxa"/>
                  </w:tcMar>
                  <w:vAlign w:val="center"/>
                </w:tcPr>
                <w:p w14:paraId="57D8046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序号</w:t>
                  </w:r>
                </w:p>
              </w:tc>
              <w:tc>
                <w:tcPr>
                  <w:tcW w:w="1047" w:type="pct"/>
                  <w:noWrap w:val="0"/>
                  <w:tcMar>
                    <w:top w:w="120" w:type="dxa"/>
                    <w:left w:w="120" w:type="dxa"/>
                    <w:bottom w:w="120" w:type="dxa"/>
                    <w:right w:w="120" w:type="dxa"/>
                  </w:tcMar>
                  <w:vAlign w:val="center"/>
                </w:tcPr>
                <w:p w14:paraId="4FAD69C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参数名称</w:t>
                  </w:r>
                </w:p>
              </w:tc>
              <w:tc>
                <w:tcPr>
                  <w:tcW w:w="2439" w:type="pct"/>
                  <w:noWrap w:val="0"/>
                  <w:tcMar>
                    <w:top w:w="120" w:type="dxa"/>
                    <w:left w:w="120" w:type="dxa"/>
                    <w:bottom w:w="120" w:type="dxa"/>
                    <w:right w:w="120" w:type="dxa"/>
                  </w:tcMar>
                  <w:vAlign w:val="center"/>
                </w:tcPr>
                <w:p w14:paraId="5231687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技术要求</w:t>
                  </w:r>
                </w:p>
              </w:tc>
              <w:tc>
                <w:tcPr>
                  <w:tcW w:w="1078" w:type="pct"/>
                  <w:noWrap w:val="0"/>
                  <w:tcMar>
                    <w:top w:w="120" w:type="dxa"/>
                    <w:left w:w="120" w:type="dxa"/>
                    <w:bottom w:w="120" w:type="dxa"/>
                    <w:right w:w="120" w:type="dxa"/>
                  </w:tcMar>
                  <w:vAlign w:val="center"/>
                </w:tcPr>
                <w:p w14:paraId="5186F7F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备注</w:t>
                  </w:r>
                </w:p>
              </w:tc>
            </w:tr>
            <w:tr w14:paraId="2DF4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2D3ACCE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w:t>
                  </w:r>
                </w:p>
              </w:tc>
              <w:tc>
                <w:tcPr>
                  <w:tcW w:w="1047" w:type="pct"/>
                  <w:noWrap w:val="0"/>
                  <w:tcMar>
                    <w:top w:w="120" w:type="dxa"/>
                    <w:left w:w="120" w:type="dxa"/>
                    <w:bottom w:w="120" w:type="dxa"/>
                    <w:right w:w="120" w:type="dxa"/>
                  </w:tcMar>
                  <w:vAlign w:val="center"/>
                </w:tcPr>
                <w:p w14:paraId="270A875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电池类型</w:t>
                  </w:r>
                </w:p>
              </w:tc>
              <w:tc>
                <w:tcPr>
                  <w:tcW w:w="2439" w:type="pct"/>
                  <w:noWrap w:val="0"/>
                  <w:tcMar>
                    <w:top w:w="120" w:type="dxa"/>
                    <w:left w:w="120" w:type="dxa"/>
                    <w:bottom w:w="120" w:type="dxa"/>
                    <w:right w:w="120" w:type="dxa"/>
                  </w:tcMar>
                  <w:vAlign w:val="center"/>
                </w:tcPr>
                <w:p w14:paraId="5459251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磷酸铁锂（LiFePO₄）储能专用电芯</w:t>
                  </w:r>
                </w:p>
              </w:tc>
              <w:tc>
                <w:tcPr>
                  <w:tcW w:w="1078" w:type="pct"/>
                  <w:noWrap w:val="0"/>
                  <w:tcMar>
                    <w:top w:w="120" w:type="dxa"/>
                    <w:left w:w="120" w:type="dxa"/>
                    <w:bottom w:w="120" w:type="dxa"/>
                    <w:right w:w="120" w:type="dxa"/>
                  </w:tcMar>
                  <w:vAlign w:val="center"/>
                </w:tcPr>
                <w:p w14:paraId="136A56B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动力电池不适用</w:t>
                  </w:r>
                </w:p>
              </w:tc>
            </w:tr>
            <w:tr w14:paraId="4402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49A9AA5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2</w:t>
                  </w:r>
                </w:p>
              </w:tc>
              <w:tc>
                <w:tcPr>
                  <w:tcW w:w="1047" w:type="pct"/>
                  <w:noWrap w:val="0"/>
                  <w:tcMar>
                    <w:top w:w="120" w:type="dxa"/>
                    <w:left w:w="120" w:type="dxa"/>
                    <w:bottom w:w="120" w:type="dxa"/>
                    <w:right w:w="120" w:type="dxa"/>
                  </w:tcMar>
                  <w:vAlign w:val="center"/>
                </w:tcPr>
                <w:p w14:paraId="6F51331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标称电压</w:t>
                  </w:r>
                </w:p>
              </w:tc>
              <w:tc>
                <w:tcPr>
                  <w:tcW w:w="2439" w:type="pct"/>
                  <w:noWrap w:val="0"/>
                  <w:tcMar>
                    <w:top w:w="120" w:type="dxa"/>
                    <w:left w:w="120" w:type="dxa"/>
                    <w:bottom w:w="120" w:type="dxa"/>
                    <w:right w:w="120" w:type="dxa"/>
                  </w:tcMar>
                  <w:vAlign w:val="center"/>
                </w:tcPr>
                <w:p w14:paraId="73B7874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12.8V</w:t>
                  </w:r>
                </w:p>
              </w:tc>
              <w:tc>
                <w:tcPr>
                  <w:tcW w:w="1078" w:type="pct"/>
                  <w:noWrap w:val="0"/>
                  <w:tcMar>
                    <w:top w:w="120" w:type="dxa"/>
                    <w:left w:w="120" w:type="dxa"/>
                    <w:bottom w:w="120" w:type="dxa"/>
                    <w:right w:w="120" w:type="dxa"/>
                  </w:tcMar>
                  <w:vAlign w:val="center"/>
                </w:tcPr>
                <w:p w14:paraId="0A4547C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4 串结构</w:t>
                  </w:r>
                </w:p>
              </w:tc>
            </w:tr>
            <w:tr w14:paraId="756D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46AA2CA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3</w:t>
                  </w:r>
                </w:p>
              </w:tc>
              <w:tc>
                <w:tcPr>
                  <w:tcW w:w="1047" w:type="pct"/>
                  <w:noWrap w:val="0"/>
                  <w:tcMar>
                    <w:top w:w="120" w:type="dxa"/>
                    <w:left w:w="120" w:type="dxa"/>
                    <w:bottom w:w="120" w:type="dxa"/>
                    <w:right w:w="120" w:type="dxa"/>
                  </w:tcMar>
                  <w:vAlign w:val="center"/>
                </w:tcPr>
                <w:p w14:paraId="1EC3F13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额定容量</w:t>
                  </w:r>
                </w:p>
              </w:tc>
              <w:tc>
                <w:tcPr>
                  <w:tcW w:w="2439" w:type="pct"/>
                  <w:noWrap w:val="0"/>
                  <w:tcMar>
                    <w:top w:w="120" w:type="dxa"/>
                    <w:left w:w="120" w:type="dxa"/>
                    <w:bottom w:w="120" w:type="dxa"/>
                    <w:right w:w="120" w:type="dxa"/>
                  </w:tcMar>
                  <w:vAlign w:val="center"/>
                </w:tcPr>
                <w:p w14:paraId="0AABDEC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≥105Ah（0.5C，25℃）</w:t>
                  </w:r>
                </w:p>
              </w:tc>
              <w:tc>
                <w:tcPr>
                  <w:tcW w:w="1078" w:type="pct"/>
                  <w:noWrap w:val="0"/>
                  <w:tcMar>
                    <w:top w:w="120" w:type="dxa"/>
                    <w:left w:w="120" w:type="dxa"/>
                    <w:bottom w:w="120" w:type="dxa"/>
                    <w:right w:w="120" w:type="dxa"/>
                  </w:tcMar>
                  <w:vAlign w:val="center"/>
                </w:tcPr>
                <w:p w14:paraId="23DCF3F0">
                  <w:pPr>
                    <w:jc w:val="left"/>
                    <w:rPr>
                      <w:rFonts w:hint="eastAsia" w:ascii="宋体" w:hAnsi="宋体" w:eastAsia="宋体" w:cs="宋体"/>
                      <w:b w:val="0"/>
                      <w:bCs w:val="0"/>
                      <w:sz w:val="21"/>
                      <w:szCs w:val="21"/>
                    </w:rPr>
                  </w:pPr>
                </w:p>
              </w:tc>
            </w:tr>
            <w:tr w14:paraId="794C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5BEF8A5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4</w:t>
                  </w:r>
                </w:p>
              </w:tc>
              <w:tc>
                <w:tcPr>
                  <w:tcW w:w="1047" w:type="pct"/>
                  <w:noWrap w:val="0"/>
                  <w:tcMar>
                    <w:top w:w="120" w:type="dxa"/>
                    <w:left w:w="120" w:type="dxa"/>
                    <w:bottom w:w="120" w:type="dxa"/>
                    <w:right w:w="120" w:type="dxa"/>
                  </w:tcMar>
                  <w:vAlign w:val="center"/>
                </w:tcPr>
                <w:p w14:paraId="4EB0F8E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可用容量（80% DOD）</w:t>
                  </w:r>
                </w:p>
              </w:tc>
              <w:tc>
                <w:tcPr>
                  <w:tcW w:w="2439" w:type="pct"/>
                  <w:noWrap w:val="0"/>
                  <w:tcMar>
                    <w:top w:w="120" w:type="dxa"/>
                    <w:left w:w="120" w:type="dxa"/>
                    <w:bottom w:w="120" w:type="dxa"/>
                    <w:right w:w="120" w:type="dxa"/>
                  </w:tcMar>
                  <w:vAlign w:val="center"/>
                </w:tcPr>
                <w:p w14:paraId="3F93950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≥84Ah</w:t>
                  </w:r>
                </w:p>
              </w:tc>
              <w:tc>
                <w:tcPr>
                  <w:tcW w:w="1078" w:type="pct"/>
                  <w:noWrap w:val="0"/>
                  <w:tcMar>
                    <w:top w:w="120" w:type="dxa"/>
                    <w:left w:w="120" w:type="dxa"/>
                    <w:bottom w:w="120" w:type="dxa"/>
                    <w:right w:w="120" w:type="dxa"/>
                  </w:tcMar>
                  <w:vAlign w:val="center"/>
                </w:tcPr>
                <w:p w14:paraId="7801176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太阳能日常使用区间</w:t>
                  </w:r>
                </w:p>
              </w:tc>
            </w:tr>
            <w:tr w14:paraId="55BB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210544E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5</w:t>
                  </w:r>
                </w:p>
              </w:tc>
              <w:tc>
                <w:tcPr>
                  <w:tcW w:w="1047" w:type="pct"/>
                  <w:noWrap w:val="0"/>
                  <w:tcMar>
                    <w:top w:w="120" w:type="dxa"/>
                    <w:left w:w="120" w:type="dxa"/>
                    <w:bottom w:w="120" w:type="dxa"/>
                    <w:right w:w="120" w:type="dxa"/>
                  </w:tcMar>
                  <w:vAlign w:val="center"/>
                </w:tcPr>
                <w:p w14:paraId="1C1CFB3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充电截止电压</w:t>
                  </w:r>
                </w:p>
              </w:tc>
              <w:tc>
                <w:tcPr>
                  <w:tcW w:w="2439" w:type="pct"/>
                  <w:noWrap w:val="0"/>
                  <w:tcMar>
                    <w:top w:w="120" w:type="dxa"/>
                    <w:left w:w="120" w:type="dxa"/>
                    <w:bottom w:w="120" w:type="dxa"/>
                    <w:right w:w="120" w:type="dxa"/>
                  </w:tcMar>
                  <w:vAlign w:val="center"/>
                </w:tcPr>
                <w:p w14:paraId="01B4DC5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14.6V±0.2V</w:t>
                  </w:r>
                </w:p>
              </w:tc>
              <w:tc>
                <w:tcPr>
                  <w:tcW w:w="1078" w:type="pct"/>
                  <w:noWrap w:val="0"/>
                  <w:tcMar>
                    <w:top w:w="120" w:type="dxa"/>
                    <w:left w:w="120" w:type="dxa"/>
                    <w:bottom w:w="120" w:type="dxa"/>
                    <w:right w:w="120" w:type="dxa"/>
                  </w:tcMar>
                  <w:vAlign w:val="center"/>
                </w:tcPr>
                <w:p w14:paraId="24AF6F4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匹配 MPPT 控制器</w:t>
                  </w:r>
                </w:p>
              </w:tc>
            </w:tr>
            <w:tr w14:paraId="6DE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6FFEB44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6</w:t>
                  </w:r>
                </w:p>
              </w:tc>
              <w:tc>
                <w:tcPr>
                  <w:tcW w:w="1047" w:type="pct"/>
                  <w:noWrap w:val="0"/>
                  <w:tcMar>
                    <w:top w:w="120" w:type="dxa"/>
                    <w:left w:w="120" w:type="dxa"/>
                    <w:bottom w:w="120" w:type="dxa"/>
                    <w:right w:w="120" w:type="dxa"/>
                  </w:tcMar>
                  <w:vAlign w:val="center"/>
                </w:tcPr>
                <w:p w14:paraId="48B29045">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浮充电压</w:t>
                  </w:r>
                </w:p>
              </w:tc>
              <w:tc>
                <w:tcPr>
                  <w:tcW w:w="2439" w:type="pct"/>
                  <w:noWrap w:val="0"/>
                  <w:tcMar>
                    <w:top w:w="120" w:type="dxa"/>
                    <w:left w:w="120" w:type="dxa"/>
                    <w:bottom w:w="120" w:type="dxa"/>
                    <w:right w:w="120" w:type="dxa"/>
                  </w:tcMar>
                  <w:vAlign w:val="center"/>
                </w:tcPr>
                <w:p w14:paraId="63F3ADE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13.6V～13.8V</w:t>
                  </w:r>
                </w:p>
              </w:tc>
              <w:tc>
                <w:tcPr>
                  <w:tcW w:w="1078" w:type="pct"/>
                  <w:noWrap w:val="0"/>
                  <w:tcMar>
                    <w:top w:w="120" w:type="dxa"/>
                    <w:left w:w="120" w:type="dxa"/>
                    <w:bottom w:w="120" w:type="dxa"/>
                    <w:right w:w="120" w:type="dxa"/>
                  </w:tcMar>
                  <w:vAlign w:val="center"/>
                </w:tcPr>
                <w:p w14:paraId="4BC7B5A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长期浮充不鼓包</w:t>
                  </w:r>
                </w:p>
              </w:tc>
            </w:tr>
            <w:tr w14:paraId="049B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20BAAD9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7</w:t>
                  </w:r>
                </w:p>
              </w:tc>
              <w:tc>
                <w:tcPr>
                  <w:tcW w:w="1047" w:type="pct"/>
                  <w:noWrap w:val="0"/>
                  <w:tcMar>
                    <w:top w:w="120" w:type="dxa"/>
                    <w:left w:w="120" w:type="dxa"/>
                    <w:bottom w:w="120" w:type="dxa"/>
                    <w:right w:w="120" w:type="dxa"/>
                  </w:tcMar>
                  <w:vAlign w:val="center"/>
                </w:tcPr>
                <w:p w14:paraId="511173D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放电截止电压</w:t>
                  </w:r>
                </w:p>
              </w:tc>
              <w:tc>
                <w:tcPr>
                  <w:tcW w:w="2439" w:type="pct"/>
                  <w:noWrap w:val="0"/>
                  <w:tcMar>
                    <w:top w:w="120" w:type="dxa"/>
                    <w:left w:w="120" w:type="dxa"/>
                    <w:bottom w:w="120" w:type="dxa"/>
                    <w:right w:w="120" w:type="dxa"/>
                  </w:tcMar>
                  <w:vAlign w:val="center"/>
                </w:tcPr>
                <w:p w14:paraId="6A2CD64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10.0V±0.2V</w:t>
                  </w:r>
                </w:p>
              </w:tc>
              <w:tc>
                <w:tcPr>
                  <w:tcW w:w="1078" w:type="pct"/>
                  <w:noWrap w:val="0"/>
                  <w:tcMar>
                    <w:top w:w="120" w:type="dxa"/>
                    <w:left w:w="120" w:type="dxa"/>
                    <w:bottom w:w="120" w:type="dxa"/>
                    <w:right w:w="120" w:type="dxa"/>
                  </w:tcMar>
                  <w:vAlign w:val="center"/>
                </w:tcPr>
                <w:p w14:paraId="3EB6DC71">
                  <w:pPr>
                    <w:jc w:val="left"/>
                    <w:rPr>
                      <w:rFonts w:hint="eastAsia" w:ascii="宋体" w:hAnsi="宋体" w:eastAsia="宋体" w:cs="宋体"/>
                      <w:b w:val="0"/>
                      <w:bCs w:val="0"/>
                      <w:sz w:val="21"/>
                      <w:szCs w:val="21"/>
                    </w:rPr>
                  </w:pPr>
                </w:p>
              </w:tc>
            </w:tr>
            <w:tr w14:paraId="5357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68B419E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8</w:t>
                  </w:r>
                </w:p>
              </w:tc>
              <w:tc>
                <w:tcPr>
                  <w:tcW w:w="1047" w:type="pct"/>
                  <w:noWrap w:val="0"/>
                  <w:tcMar>
                    <w:top w:w="120" w:type="dxa"/>
                    <w:left w:w="120" w:type="dxa"/>
                    <w:bottom w:w="120" w:type="dxa"/>
                    <w:right w:w="120" w:type="dxa"/>
                  </w:tcMar>
                  <w:vAlign w:val="center"/>
                </w:tcPr>
                <w:p w14:paraId="597466C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最大充电电流</w:t>
                  </w:r>
                </w:p>
              </w:tc>
              <w:tc>
                <w:tcPr>
                  <w:tcW w:w="2439" w:type="pct"/>
                  <w:noWrap w:val="0"/>
                  <w:tcMar>
                    <w:top w:w="120" w:type="dxa"/>
                    <w:left w:w="120" w:type="dxa"/>
                    <w:bottom w:w="120" w:type="dxa"/>
                    <w:right w:w="120" w:type="dxa"/>
                  </w:tcMar>
                  <w:vAlign w:val="center"/>
                </w:tcPr>
                <w:p w14:paraId="009C584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≥0.5C（≥52.5A）</w:t>
                  </w:r>
                </w:p>
              </w:tc>
              <w:tc>
                <w:tcPr>
                  <w:tcW w:w="1078" w:type="pct"/>
                  <w:noWrap w:val="0"/>
                  <w:tcMar>
                    <w:top w:w="120" w:type="dxa"/>
                    <w:left w:w="120" w:type="dxa"/>
                    <w:bottom w:w="120" w:type="dxa"/>
                    <w:right w:w="120" w:type="dxa"/>
                  </w:tcMar>
                  <w:vAlign w:val="center"/>
                </w:tcPr>
                <w:p w14:paraId="26528F3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匹配太阳能板功率</w:t>
                  </w:r>
                </w:p>
              </w:tc>
            </w:tr>
            <w:tr w14:paraId="104E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4D123D4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9</w:t>
                  </w:r>
                </w:p>
              </w:tc>
              <w:tc>
                <w:tcPr>
                  <w:tcW w:w="1047" w:type="pct"/>
                  <w:noWrap w:val="0"/>
                  <w:tcMar>
                    <w:top w:w="120" w:type="dxa"/>
                    <w:left w:w="120" w:type="dxa"/>
                    <w:bottom w:w="120" w:type="dxa"/>
                    <w:right w:w="120" w:type="dxa"/>
                  </w:tcMar>
                  <w:vAlign w:val="center"/>
                </w:tcPr>
                <w:p w14:paraId="1C7244F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最大持续放电电流</w:t>
                  </w:r>
                </w:p>
              </w:tc>
              <w:tc>
                <w:tcPr>
                  <w:tcW w:w="2439" w:type="pct"/>
                  <w:noWrap w:val="0"/>
                  <w:tcMar>
                    <w:top w:w="120" w:type="dxa"/>
                    <w:left w:w="120" w:type="dxa"/>
                    <w:bottom w:w="120" w:type="dxa"/>
                    <w:right w:w="120" w:type="dxa"/>
                  </w:tcMar>
                  <w:vAlign w:val="center"/>
                </w:tcPr>
                <w:p w14:paraId="6BECCB9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≥0.5C（≥52.5A）</w:t>
                  </w:r>
                </w:p>
              </w:tc>
              <w:tc>
                <w:tcPr>
                  <w:tcW w:w="1078" w:type="pct"/>
                  <w:noWrap w:val="0"/>
                  <w:tcMar>
                    <w:top w:w="120" w:type="dxa"/>
                    <w:left w:w="120" w:type="dxa"/>
                    <w:bottom w:w="120" w:type="dxa"/>
                    <w:right w:w="120" w:type="dxa"/>
                  </w:tcMar>
                  <w:vAlign w:val="center"/>
                </w:tcPr>
                <w:p w14:paraId="47AEE5C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负载供电</w:t>
                  </w:r>
                </w:p>
              </w:tc>
            </w:tr>
            <w:tr w14:paraId="59B8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462096E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w:t>
                  </w:r>
                </w:p>
              </w:tc>
              <w:tc>
                <w:tcPr>
                  <w:tcW w:w="1047" w:type="pct"/>
                  <w:noWrap w:val="0"/>
                  <w:tcMar>
                    <w:top w:w="120" w:type="dxa"/>
                    <w:left w:w="120" w:type="dxa"/>
                    <w:bottom w:w="120" w:type="dxa"/>
                    <w:right w:w="120" w:type="dxa"/>
                  </w:tcMar>
                  <w:vAlign w:val="center"/>
                </w:tcPr>
                <w:p w14:paraId="1FE422D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循环寿命</w:t>
                  </w:r>
                </w:p>
              </w:tc>
              <w:tc>
                <w:tcPr>
                  <w:tcW w:w="2439" w:type="pct"/>
                  <w:noWrap w:val="0"/>
                  <w:tcMar>
                    <w:top w:w="120" w:type="dxa"/>
                    <w:left w:w="120" w:type="dxa"/>
                    <w:bottom w:w="120" w:type="dxa"/>
                    <w:right w:w="120" w:type="dxa"/>
                  </w:tcMar>
                  <w:vAlign w:val="center"/>
                </w:tcPr>
                <w:p w14:paraId="42CCB16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≥6000 次（100% DOD，25℃，容量保持率≥80%）</w:t>
                  </w:r>
                </w:p>
              </w:tc>
              <w:tc>
                <w:tcPr>
                  <w:tcW w:w="1078" w:type="pct"/>
                  <w:noWrap w:val="0"/>
                  <w:tcMar>
                    <w:top w:w="120" w:type="dxa"/>
                    <w:left w:w="120" w:type="dxa"/>
                    <w:bottom w:w="120" w:type="dxa"/>
                    <w:right w:w="120" w:type="dxa"/>
                  </w:tcMar>
                  <w:vAlign w:val="center"/>
                </w:tcPr>
                <w:p w14:paraId="46C5421A">
                  <w:pPr>
                    <w:keepNext w:val="0"/>
                    <w:keepLines w:val="0"/>
                    <w:widowControl/>
                    <w:suppressLineNumbers w:val="0"/>
                    <w:jc w:val="left"/>
                    <w:rPr>
                      <w:rFonts w:hint="eastAsia" w:ascii="宋体" w:hAnsi="宋体" w:eastAsia="宋体" w:cs="宋体"/>
                      <w:b w:val="0"/>
                      <w:bCs w:val="0"/>
                      <w:sz w:val="21"/>
                      <w:szCs w:val="21"/>
                    </w:rPr>
                  </w:pPr>
                  <w:r>
                    <w:rPr>
                      <w:rStyle w:val="7"/>
                      <w:rFonts w:hint="eastAsia" w:ascii="宋体" w:hAnsi="宋体" w:eastAsia="宋体" w:cs="宋体"/>
                      <w:b w:val="0"/>
                      <w:bCs w:val="0"/>
                      <w:kern w:val="0"/>
                      <w:sz w:val="21"/>
                      <w:szCs w:val="21"/>
                      <w:lang w:val="en-US" w:eastAsia="zh-CN" w:bidi="ar"/>
                    </w:rPr>
                    <w:t>太阳能核心指标</w:t>
                  </w:r>
                </w:p>
              </w:tc>
            </w:tr>
            <w:tr w14:paraId="69BE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008B08F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11</w:t>
                  </w:r>
                </w:p>
              </w:tc>
              <w:tc>
                <w:tcPr>
                  <w:tcW w:w="1047" w:type="pct"/>
                  <w:noWrap w:val="0"/>
                  <w:tcMar>
                    <w:top w:w="120" w:type="dxa"/>
                    <w:left w:w="120" w:type="dxa"/>
                    <w:bottom w:w="120" w:type="dxa"/>
                    <w:right w:w="120" w:type="dxa"/>
                  </w:tcMar>
                  <w:vAlign w:val="center"/>
                </w:tcPr>
                <w:p w14:paraId="250F4395">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循环寿命</w:t>
                  </w:r>
                </w:p>
              </w:tc>
              <w:tc>
                <w:tcPr>
                  <w:tcW w:w="2439" w:type="pct"/>
                  <w:noWrap w:val="0"/>
                  <w:tcMar>
                    <w:top w:w="120" w:type="dxa"/>
                    <w:left w:w="120" w:type="dxa"/>
                    <w:bottom w:w="120" w:type="dxa"/>
                    <w:right w:w="120" w:type="dxa"/>
                  </w:tcMar>
                  <w:vAlign w:val="center"/>
                </w:tcPr>
                <w:p w14:paraId="55F7B48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≥3000 次（80% DOD，-10℃～45℃环境）</w:t>
                  </w:r>
                </w:p>
              </w:tc>
              <w:tc>
                <w:tcPr>
                  <w:tcW w:w="1078" w:type="pct"/>
                  <w:noWrap w:val="0"/>
                  <w:tcMar>
                    <w:top w:w="120" w:type="dxa"/>
                    <w:left w:w="120" w:type="dxa"/>
                    <w:bottom w:w="120" w:type="dxa"/>
                    <w:right w:w="120" w:type="dxa"/>
                  </w:tcMar>
                  <w:vAlign w:val="center"/>
                </w:tcPr>
                <w:p w14:paraId="47CC254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实际使用工况</w:t>
                  </w:r>
                </w:p>
              </w:tc>
            </w:tr>
            <w:tr w14:paraId="4D4F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37BBC64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12</w:t>
                  </w:r>
                </w:p>
              </w:tc>
              <w:tc>
                <w:tcPr>
                  <w:tcW w:w="1047" w:type="pct"/>
                  <w:noWrap w:val="0"/>
                  <w:tcMar>
                    <w:top w:w="120" w:type="dxa"/>
                    <w:left w:w="120" w:type="dxa"/>
                    <w:bottom w:w="120" w:type="dxa"/>
                    <w:right w:w="120" w:type="dxa"/>
                  </w:tcMar>
                  <w:vAlign w:val="center"/>
                </w:tcPr>
                <w:p w14:paraId="27FB0AC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自放电率</w:t>
                  </w:r>
                </w:p>
              </w:tc>
              <w:tc>
                <w:tcPr>
                  <w:tcW w:w="2439" w:type="pct"/>
                  <w:noWrap w:val="0"/>
                  <w:tcMar>
                    <w:top w:w="120" w:type="dxa"/>
                    <w:left w:w="120" w:type="dxa"/>
                    <w:bottom w:w="120" w:type="dxa"/>
                    <w:right w:w="120" w:type="dxa"/>
                  </w:tcMar>
                  <w:vAlign w:val="center"/>
                </w:tcPr>
                <w:p w14:paraId="3454B35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≤3%/ 月（25℃，满电存储）</w:t>
                  </w:r>
                </w:p>
              </w:tc>
              <w:tc>
                <w:tcPr>
                  <w:tcW w:w="1078" w:type="pct"/>
                  <w:noWrap w:val="0"/>
                  <w:tcMar>
                    <w:top w:w="120" w:type="dxa"/>
                    <w:left w:w="120" w:type="dxa"/>
                    <w:bottom w:w="120" w:type="dxa"/>
                    <w:right w:w="120" w:type="dxa"/>
                  </w:tcMar>
                  <w:vAlign w:val="center"/>
                </w:tcPr>
                <w:p w14:paraId="7892EE9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阴雨天 / 冬季很重要</w:t>
                  </w:r>
                </w:p>
              </w:tc>
            </w:tr>
            <w:tr w14:paraId="6A2D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6A92478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13</w:t>
                  </w:r>
                </w:p>
              </w:tc>
              <w:tc>
                <w:tcPr>
                  <w:tcW w:w="1047" w:type="pct"/>
                  <w:noWrap w:val="0"/>
                  <w:tcMar>
                    <w:top w:w="120" w:type="dxa"/>
                    <w:left w:w="120" w:type="dxa"/>
                    <w:bottom w:w="120" w:type="dxa"/>
                    <w:right w:w="120" w:type="dxa"/>
                  </w:tcMar>
                  <w:vAlign w:val="center"/>
                </w:tcPr>
                <w:p w14:paraId="0C4213D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工作温度范围</w:t>
                  </w:r>
                </w:p>
              </w:tc>
              <w:tc>
                <w:tcPr>
                  <w:tcW w:w="2439" w:type="pct"/>
                  <w:noWrap w:val="0"/>
                  <w:tcMar>
                    <w:top w:w="120" w:type="dxa"/>
                    <w:left w:w="120" w:type="dxa"/>
                    <w:bottom w:w="120" w:type="dxa"/>
                    <w:right w:w="120" w:type="dxa"/>
                  </w:tcMar>
                  <w:vAlign w:val="center"/>
                </w:tcPr>
                <w:p w14:paraId="29B78195">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充电：-10℃～55℃；放电：-20℃～60℃</w:t>
                  </w:r>
                </w:p>
              </w:tc>
              <w:tc>
                <w:tcPr>
                  <w:tcW w:w="1078" w:type="pct"/>
                  <w:noWrap w:val="0"/>
                  <w:tcMar>
                    <w:top w:w="120" w:type="dxa"/>
                    <w:left w:w="120" w:type="dxa"/>
                    <w:bottom w:w="120" w:type="dxa"/>
                    <w:right w:w="120" w:type="dxa"/>
                  </w:tcMar>
                  <w:vAlign w:val="center"/>
                </w:tcPr>
                <w:p w14:paraId="390DA64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户外环境</w:t>
                  </w:r>
                </w:p>
              </w:tc>
            </w:tr>
            <w:tr w14:paraId="6176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22DB88D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14</w:t>
                  </w:r>
                </w:p>
              </w:tc>
              <w:tc>
                <w:tcPr>
                  <w:tcW w:w="1047" w:type="pct"/>
                  <w:noWrap w:val="0"/>
                  <w:tcMar>
                    <w:top w:w="120" w:type="dxa"/>
                    <w:left w:w="120" w:type="dxa"/>
                    <w:bottom w:w="120" w:type="dxa"/>
                    <w:right w:w="120" w:type="dxa"/>
                  </w:tcMar>
                  <w:vAlign w:val="center"/>
                </w:tcPr>
                <w:p w14:paraId="5099AAF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充电温度补偿</w:t>
                  </w:r>
                </w:p>
              </w:tc>
              <w:tc>
                <w:tcPr>
                  <w:tcW w:w="2439" w:type="pct"/>
                  <w:noWrap w:val="0"/>
                  <w:tcMar>
                    <w:top w:w="120" w:type="dxa"/>
                    <w:left w:w="120" w:type="dxa"/>
                    <w:bottom w:w="120" w:type="dxa"/>
                    <w:right w:w="120" w:type="dxa"/>
                  </w:tcMar>
                  <w:vAlign w:val="center"/>
                </w:tcPr>
                <w:p w14:paraId="2219A9E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支持，-3mV/℃/ 单体</w:t>
                  </w:r>
                </w:p>
              </w:tc>
              <w:tc>
                <w:tcPr>
                  <w:tcW w:w="1078" w:type="pct"/>
                  <w:noWrap w:val="0"/>
                  <w:tcMar>
                    <w:top w:w="120" w:type="dxa"/>
                    <w:left w:w="120" w:type="dxa"/>
                    <w:bottom w:w="120" w:type="dxa"/>
                    <w:right w:w="120" w:type="dxa"/>
                  </w:tcMar>
                  <w:vAlign w:val="center"/>
                </w:tcPr>
                <w:p w14:paraId="791108A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配合 MPPT 控制器</w:t>
                  </w:r>
                </w:p>
              </w:tc>
            </w:tr>
            <w:tr w14:paraId="2684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5C1CC0C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15</w:t>
                  </w:r>
                </w:p>
              </w:tc>
              <w:tc>
                <w:tcPr>
                  <w:tcW w:w="1047" w:type="pct"/>
                  <w:noWrap w:val="0"/>
                  <w:tcMar>
                    <w:top w:w="120" w:type="dxa"/>
                    <w:left w:w="120" w:type="dxa"/>
                    <w:bottom w:w="120" w:type="dxa"/>
                    <w:right w:w="120" w:type="dxa"/>
                  </w:tcMar>
                  <w:vAlign w:val="center"/>
                </w:tcPr>
                <w:p w14:paraId="0CFDFBF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防护等级</w:t>
                  </w:r>
                </w:p>
              </w:tc>
              <w:tc>
                <w:tcPr>
                  <w:tcW w:w="2439" w:type="pct"/>
                  <w:noWrap w:val="0"/>
                  <w:tcMar>
                    <w:top w:w="120" w:type="dxa"/>
                    <w:left w:w="120" w:type="dxa"/>
                    <w:bottom w:w="120" w:type="dxa"/>
                    <w:right w:w="120" w:type="dxa"/>
                  </w:tcMar>
                  <w:vAlign w:val="center"/>
                </w:tcPr>
                <w:p w14:paraId="7A8FE59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≥IP65</w:t>
                  </w:r>
                </w:p>
              </w:tc>
              <w:tc>
                <w:tcPr>
                  <w:tcW w:w="1078" w:type="pct"/>
                  <w:noWrap w:val="0"/>
                  <w:tcMar>
                    <w:top w:w="120" w:type="dxa"/>
                    <w:left w:w="120" w:type="dxa"/>
                    <w:bottom w:w="120" w:type="dxa"/>
                    <w:right w:w="120" w:type="dxa"/>
                  </w:tcMar>
                  <w:vAlign w:val="center"/>
                </w:tcPr>
                <w:p w14:paraId="66974D4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户外 / 机房均可</w:t>
                  </w:r>
                </w:p>
              </w:tc>
            </w:tr>
            <w:tr w14:paraId="13D6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34" w:type="pct"/>
                  <w:noWrap w:val="0"/>
                  <w:tcMar>
                    <w:top w:w="120" w:type="dxa"/>
                    <w:left w:w="120" w:type="dxa"/>
                    <w:bottom w:w="120" w:type="dxa"/>
                    <w:right w:w="120" w:type="dxa"/>
                  </w:tcMar>
                  <w:vAlign w:val="center"/>
                </w:tcPr>
                <w:p w14:paraId="526325A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16</w:t>
                  </w:r>
                </w:p>
              </w:tc>
              <w:tc>
                <w:tcPr>
                  <w:tcW w:w="1047" w:type="pct"/>
                  <w:noWrap w:val="0"/>
                  <w:tcMar>
                    <w:top w:w="120" w:type="dxa"/>
                    <w:left w:w="120" w:type="dxa"/>
                    <w:bottom w:w="120" w:type="dxa"/>
                    <w:right w:w="120" w:type="dxa"/>
                  </w:tcMar>
                  <w:vAlign w:val="center"/>
                </w:tcPr>
                <w:p w14:paraId="07DB1B5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设计寿命</w:t>
                  </w:r>
                </w:p>
              </w:tc>
              <w:tc>
                <w:tcPr>
                  <w:tcW w:w="2439" w:type="pct"/>
                  <w:noWrap w:val="0"/>
                  <w:tcMar>
                    <w:top w:w="120" w:type="dxa"/>
                    <w:left w:w="120" w:type="dxa"/>
                    <w:bottom w:w="120" w:type="dxa"/>
                    <w:right w:w="120" w:type="dxa"/>
                  </w:tcMar>
                  <w:vAlign w:val="center"/>
                </w:tcPr>
                <w:p w14:paraId="46C309D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 年</w:t>
                  </w:r>
                </w:p>
              </w:tc>
              <w:tc>
                <w:tcPr>
                  <w:tcW w:w="1078" w:type="pct"/>
                  <w:noWrap w:val="0"/>
                  <w:tcMar>
                    <w:top w:w="120" w:type="dxa"/>
                    <w:left w:w="120" w:type="dxa"/>
                    <w:bottom w:w="120" w:type="dxa"/>
                    <w:right w:w="120" w:type="dxa"/>
                  </w:tcMar>
                  <w:vAlign w:val="center"/>
                </w:tcPr>
                <w:p w14:paraId="189DA01F">
                  <w:pPr>
                    <w:jc w:val="left"/>
                    <w:rPr>
                      <w:rFonts w:hint="eastAsia" w:ascii="宋体" w:hAnsi="宋体" w:eastAsia="宋体" w:cs="宋体"/>
                      <w:b w:val="0"/>
                      <w:bCs w:val="0"/>
                      <w:sz w:val="21"/>
                      <w:szCs w:val="21"/>
                    </w:rPr>
                  </w:pPr>
                </w:p>
              </w:tc>
            </w:tr>
          </w:tbl>
          <w:p w14:paraId="6433DF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1F2329"/>
                <w:sz w:val="21"/>
                <w:szCs w:val="21"/>
              </w:rPr>
            </w:pPr>
            <w:r>
              <w:rPr>
                <w:rStyle w:val="7"/>
                <w:rFonts w:hint="eastAsia" w:ascii="宋体" w:hAnsi="宋体" w:eastAsia="宋体" w:cs="宋体"/>
                <w:color w:val="1F2329"/>
                <w:kern w:val="0"/>
                <w:sz w:val="21"/>
                <w:szCs w:val="21"/>
                <w:lang w:val="en-US" w:eastAsia="zh-CN" w:bidi="ar"/>
              </w:rPr>
              <w:t>（1）电芯要求</w:t>
            </w:r>
          </w:p>
          <w:p w14:paraId="349CE2D8">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采用储能专用磷酸铁锂电芯（非动力电芯降级），能量型设计</w:t>
            </w:r>
          </w:p>
          <w:p w14:paraId="317E17E2">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同一电池组内电芯一致性：容量差≤1.5%，内阻差≤3mΩ，静态电压差≤30mV</w:t>
            </w:r>
          </w:p>
          <w:p w14:paraId="16508D32">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支持浮充状态长期运行（≥2 年浮充容量衰减≤5%）</w:t>
            </w:r>
          </w:p>
          <w:p w14:paraId="615A19F1">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深度放电后恢复能力：0V 静置 7 天后可正常充电恢复，容量≥95%</w:t>
            </w:r>
          </w:p>
          <w:p w14:paraId="4A9E4DE4">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3.3.2 BMS 保护板要求（太阳能专用）</w:t>
            </w:r>
          </w:p>
          <w:p w14:paraId="21D16D6A">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具备过充、过放、过流、短路、过温、低温保护</w:t>
            </w:r>
          </w:p>
          <w:p w14:paraId="39A75811">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支持 MPPT 充电模式：充电电压范围宽，适配不同品牌控制器</w:t>
            </w:r>
          </w:p>
          <w:p w14:paraId="11F7CB34">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温度补偿功能：低温自动提高充电电压，高温自动降低</w:t>
            </w:r>
          </w:p>
          <w:p w14:paraId="43E784C6">
            <w:pPr>
              <w:suppressAutoHyphens/>
              <w:spacing w:line="360" w:lineRule="auto"/>
              <w:ind w:left="480"/>
              <w:rPr>
                <w:rFonts w:hint="eastAsia" w:ascii="宋体" w:hAnsi="宋体" w:eastAsia="宋体" w:cs="宋体"/>
                <w:kern w:val="0"/>
                <w:sz w:val="21"/>
                <w:szCs w:val="21"/>
              </w:rPr>
            </w:pPr>
            <w:r>
              <w:rPr>
                <w:rFonts w:hint="eastAsia" w:ascii="宋体" w:hAnsi="宋体" w:eastAsia="宋体" w:cs="宋体"/>
                <w:kern w:val="0"/>
                <w:sz w:val="21"/>
                <w:szCs w:val="21"/>
              </w:rPr>
              <w:t>主动均衡功能：均衡电流≥100mA（多组并联时尤其重要）</w:t>
            </w:r>
          </w:p>
          <w:p w14:paraId="37D2974C">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低功耗设计：待机功耗≤5mA，避免小电流过放</w:t>
            </w:r>
          </w:p>
          <w:p w14:paraId="3483102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（四）湿度传感器</w:t>
            </w:r>
          </w:p>
          <w:p w14:paraId="2DCD36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7"/>
                <w:rFonts w:hint="eastAsia" w:ascii="宋体" w:hAnsi="宋体" w:eastAsia="宋体" w:cs="宋体"/>
                <w:color w:val="1F2329"/>
                <w:kern w:val="0"/>
                <w:sz w:val="21"/>
                <w:szCs w:val="21"/>
                <w:lang w:val="en-US" w:eastAsia="zh-CN" w:bidi="ar"/>
              </w:rPr>
            </w:pPr>
            <w:r>
              <w:rPr>
                <w:rStyle w:val="7"/>
                <w:rFonts w:hint="eastAsia" w:ascii="宋体" w:hAnsi="宋体" w:eastAsia="宋体" w:cs="宋体"/>
                <w:color w:val="1F2329"/>
                <w:kern w:val="0"/>
                <w:sz w:val="21"/>
                <w:szCs w:val="21"/>
                <w:lang w:val="en-US" w:eastAsia="zh-CN" w:bidi="ar"/>
              </w:rPr>
              <w:t>（1）核心性能要求</w:t>
            </w:r>
          </w:p>
          <w:p w14:paraId="284D3F0E">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采用加温探头技术（Warmed probe technology），在结露、高湿环境下仍能保持准确测量，减少化学污染影响</w:t>
            </w:r>
          </w:p>
          <w:p w14:paraId="53A04065">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具备自动校准 / 自诊断功能，可实时监测传感器健康状态</w:t>
            </w:r>
          </w:p>
          <w:p w14:paraId="2E88C830">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支持现场校准修正，可通过软件 / 手持终端进行单点或多点校准</w:t>
            </w:r>
          </w:p>
          <w:p w14:paraId="24C807D4">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出厂前进行六点校准（覆盖从干燥到近饱和全量程），校准数据可溯源至国际标准</w:t>
            </w:r>
          </w:p>
          <w:p w14:paraId="7DDEB4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7"/>
                <w:rFonts w:hint="eastAsia" w:ascii="宋体" w:hAnsi="宋体" w:eastAsia="宋体" w:cs="宋体"/>
                <w:color w:val="1F2329"/>
                <w:kern w:val="0"/>
                <w:sz w:val="21"/>
                <w:szCs w:val="21"/>
                <w:lang w:val="en-US" w:eastAsia="zh-CN" w:bidi="ar"/>
              </w:rPr>
            </w:pPr>
            <w:r>
              <w:rPr>
                <w:rStyle w:val="7"/>
                <w:rFonts w:hint="eastAsia" w:ascii="宋体" w:hAnsi="宋体" w:eastAsia="宋体" w:cs="宋体"/>
                <w:color w:val="1F2329"/>
                <w:kern w:val="0"/>
                <w:sz w:val="21"/>
                <w:szCs w:val="21"/>
                <w:lang w:val="en-US" w:eastAsia="zh-CN" w:bidi="ar"/>
              </w:rPr>
              <w:t>（2）气象观测专用要求</w:t>
            </w:r>
          </w:p>
          <w:p w14:paraId="58113B1A">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1.适配标准气象辐射防护罩（如 DTR13、DTR503 等型号）；</w:t>
            </w:r>
          </w:p>
          <w:p w14:paraId="0CA2BF75">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2.抗紫外线、抗老化，适合室外长期安装；</w:t>
            </w:r>
          </w:p>
          <w:p w14:paraId="3922ACD8">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3.防雷击、抗电磁干扰，符合气象行业电磁兼容标准；</w:t>
            </w:r>
          </w:p>
          <w:p w14:paraId="2A3C30D6">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4.支持气象数据采集器（如 CR 系列、DL 系列等）直接接入。</w:t>
            </w:r>
          </w:p>
          <w:p w14:paraId="7E426B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7"/>
                <w:rFonts w:hint="eastAsia" w:ascii="宋体" w:hAnsi="宋体" w:eastAsia="宋体" w:cs="宋体"/>
                <w:color w:val="1F2329"/>
                <w:kern w:val="0"/>
                <w:sz w:val="21"/>
                <w:szCs w:val="21"/>
                <w:lang w:val="en-US" w:eastAsia="zh-CN" w:bidi="ar"/>
              </w:rPr>
            </w:pPr>
            <w:r>
              <w:rPr>
                <w:rStyle w:val="7"/>
                <w:rFonts w:hint="eastAsia" w:ascii="宋体" w:hAnsi="宋体" w:eastAsia="宋体" w:cs="宋体"/>
                <w:color w:val="1F2329"/>
                <w:kern w:val="0"/>
                <w:sz w:val="21"/>
                <w:szCs w:val="21"/>
                <w:lang w:val="en-US" w:eastAsia="zh-CN" w:bidi="ar"/>
              </w:rPr>
              <w:t>（3）可靠性与寿命</w:t>
            </w:r>
          </w:p>
          <w:p w14:paraId="61EA8C91">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1.平均无故障时间（MTBF）≥50000 小时；</w:t>
            </w:r>
          </w:p>
          <w:p w14:paraId="2F841F2A">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2.设计使用寿命≥8 年；</w:t>
            </w:r>
          </w:p>
          <w:p w14:paraId="199BD2C7">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3.传感器可更换，维护成本低。</w:t>
            </w:r>
          </w:p>
          <w:p w14:paraId="0F885E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7"/>
                <w:rFonts w:hint="eastAsia" w:ascii="宋体" w:hAnsi="宋体" w:eastAsia="宋体" w:cs="宋体"/>
                <w:color w:val="1F2329"/>
                <w:kern w:val="0"/>
                <w:sz w:val="21"/>
                <w:szCs w:val="21"/>
                <w:lang w:val="en-US" w:eastAsia="zh-CN" w:bidi="ar"/>
              </w:rPr>
            </w:pPr>
            <w:r>
              <w:rPr>
                <w:rStyle w:val="7"/>
                <w:rFonts w:hint="eastAsia" w:ascii="宋体" w:hAnsi="宋体" w:eastAsia="宋体" w:cs="宋体"/>
                <w:color w:val="1F2329"/>
                <w:kern w:val="0"/>
                <w:sz w:val="21"/>
                <w:szCs w:val="21"/>
                <w:lang w:val="en-US" w:eastAsia="zh-CN" w:bidi="ar"/>
              </w:rPr>
              <w:t>（4）校准与溯源</w:t>
            </w:r>
          </w:p>
          <w:p w14:paraId="3773AD1B">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1.供货时提供原厂校准证书，校准数据包含多点测试结果；</w:t>
            </w:r>
          </w:p>
          <w:p w14:paraId="396C8C49">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2.湿度校准可溯源至国家湿度基准；</w:t>
            </w:r>
          </w:p>
          <w:p w14:paraId="0C3FE0F8">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3.温度校准可溯源至 ITS-90 国际温标；</w:t>
            </w:r>
          </w:p>
          <w:p w14:paraId="78340424">
            <w:pPr>
              <w:suppressAutoHyphens/>
              <w:spacing w:line="360" w:lineRule="auto"/>
              <w:ind w:left="48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4.支持第三方计量机构检定。</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67"/>
              <w:gridCol w:w="1663"/>
              <w:gridCol w:w="4826"/>
              <w:gridCol w:w="1620"/>
            </w:tblGrid>
            <w:tr w14:paraId="7DAC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483" w:type="pct"/>
                  <w:noWrap w:val="0"/>
                  <w:tcMar>
                    <w:top w:w="120" w:type="dxa"/>
                    <w:left w:w="120" w:type="dxa"/>
                    <w:bottom w:w="120" w:type="dxa"/>
                    <w:right w:w="120" w:type="dxa"/>
                  </w:tcMar>
                  <w:vAlign w:val="center"/>
                </w:tcPr>
                <w:p w14:paraId="0395BC3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序号</w:t>
                  </w:r>
                </w:p>
              </w:tc>
              <w:tc>
                <w:tcPr>
                  <w:tcW w:w="926" w:type="pct"/>
                  <w:noWrap w:val="0"/>
                  <w:tcMar>
                    <w:top w:w="120" w:type="dxa"/>
                    <w:left w:w="120" w:type="dxa"/>
                    <w:bottom w:w="120" w:type="dxa"/>
                    <w:right w:w="120" w:type="dxa"/>
                  </w:tcMar>
                  <w:vAlign w:val="center"/>
                </w:tcPr>
                <w:p w14:paraId="2645332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参数名称</w:t>
                  </w:r>
                </w:p>
              </w:tc>
              <w:tc>
                <w:tcPr>
                  <w:tcW w:w="2687" w:type="pct"/>
                  <w:noWrap w:val="0"/>
                  <w:tcMar>
                    <w:top w:w="120" w:type="dxa"/>
                    <w:left w:w="120" w:type="dxa"/>
                    <w:bottom w:w="120" w:type="dxa"/>
                    <w:right w:w="120" w:type="dxa"/>
                  </w:tcMar>
                  <w:vAlign w:val="center"/>
                </w:tcPr>
                <w:p w14:paraId="53EA799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技术要求</w:t>
                  </w:r>
                </w:p>
              </w:tc>
              <w:tc>
                <w:tcPr>
                  <w:tcW w:w="902" w:type="pct"/>
                  <w:noWrap w:val="0"/>
                  <w:tcMar>
                    <w:top w:w="120" w:type="dxa"/>
                    <w:left w:w="120" w:type="dxa"/>
                    <w:bottom w:w="120" w:type="dxa"/>
                    <w:right w:w="120" w:type="dxa"/>
                  </w:tcMar>
                  <w:vAlign w:val="center"/>
                </w:tcPr>
                <w:p w14:paraId="0D57DF8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备注</w:t>
                  </w:r>
                </w:p>
              </w:tc>
            </w:tr>
            <w:tr w14:paraId="18B6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5B74C082">
                  <w:pPr>
                    <w:keepNext w:val="0"/>
                    <w:keepLines w:val="0"/>
                    <w:widowControl/>
                    <w:suppressLineNumbers w:val="0"/>
                    <w:jc w:val="left"/>
                    <w:rPr>
                      <w:rFonts w:hint="eastAsia" w:ascii="宋体" w:hAnsi="宋体" w:eastAsia="宋体" w:cs="宋体"/>
                      <w:b w:val="0"/>
                      <w:bCs w:val="0"/>
                      <w:sz w:val="21"/>
                      <w:szCs w:val="21"/>
                    </w:rPr>
                  </w:pPr>
                  <w:r>
                    <w:rPr>
                      <w:rStyle w:val="7"/>
                      <w:rFonts w:hint="eastAsia" w:ascii="宋体" w:hAnsi="宋体" w:eastAsia="宋体" w:cs="宋体"/>
                      <w:b w:val="0"/>
                      <w:bCs w:val="0"/>
                      <w:kern w:val="0"/>
                      <w:sz w:val="21"/>
                      <w:szCs w:val="21"/>
                      <w:lang w:val="en-US" w:eastAsia="zh-CN" w:bidi="ar"/>
                    </w:rPr>
                    <w:t>湿度测量</w:t>
                  </w:r>
                </w:p>
              </w:tc>
              <w:tc>
                <w:tcPr>
                  <w:tcW w:w="926" w:type="pct"/>
                  <w:noWrap w:val="0"/>
                  <w:tcMar>
                    <w:top w:w="120" w:type="dxa"/>
                    <w:left w:w="120" w:type="dxa"/>
                    <w:bottom w:w="120" w:type="dxa"/>
                    <w:right w:w="120" w:type="dxa"/>
                  </w:tcMar>
                  <w:vAlign w:val="center"/>
                </w:tcPr>
                <w:p w14:paraId="3441713C">
                  <w:pPr>
                    <w:jc w:val="left"/>
                    <w:rPr>
                      <w:rFonts w:hint="eastAsia" w:ascii="宋体" w:hAnsi="宋体" w:eastAsia="宋体" w:cs="宋体"/>
                      <w:b w:val="0"/>
                      <w:bCs w:val="0"/>
                      <w:sz w:val="21"/>
                      <w:szCs w:val="21"/>
                    </w:rPr>
                  </w:pPr>
                </w:p>
              </w:tc>
              <w:tc>
                <w:tcPr>
                  <w:tcW w:w="2687" w:type="pct"/>
                  <w:noWrap w:val="0"/>
                  <w:tcMar>
                    <w:top w:w="120" w:type="dxa"/>
                    <w:left w:w="120" w:type="dxa"/>
                    <w:bottom w:w="120" w:type="dxa"/>
                    <w:right w:w="120" w:type="dxa"/>
                  </w:tcMar>
                  <w:vAlign w:val="center"/>
                </w:tcPr>
                <w:p w14:paraId="783F0314">
                  <w:pPr>
                    <w:jc w:val="left"/>
                    <w:rPr>
                      <w:rFonts w:hint="eastAsia" w:ascii="宋体" w:hAnsi="宋体" w:eastAsia="宋体" w:cs="宋体"/>
                      <w:b w:val="0"/>
                      <w:bCs w:val="0"/>
                      <w:sz w:val="21"/>
                      <w:szCs w:val="21"/>
                    </w:rPr>
                  </w:pPr>
                </w:p>
              </w:tc>
              <w:tc>
                <w:tcPr>
                  <w:tcW w:w="902" w:type="pct"/>
                  <w:noWrap w:val="0"/>
                  <w:tcMar>
                    <w:top w:w="120" w:type="dxa"/>
                    <w:left w:w="120" w:type="dxa"/>
                    <w:bottom w:w="120" w:type="dxa"/>
                    <w:right w:w="120" w:type="dxa"/>
                  </w:tcMar>
                  <w:vAlign w:val="center"/>
                </w:tcPr>
                <w:p w14:paraId="51A2E0E9">
                  <w:pPr>
                    <w:jc w:val="left"/>
                    <w:rPr>
                      <w:rFonts w:hint="eastAsia" w:ascii="宋体" w:hAnsi="宋体" w:eastAsia="宋体" w:cs="宋体"/>
                      <w:b w:val="0"/>
                      <w:bCs w:val="0"/>
                      <w:sz w:val="21"/>
                      <w:szCs w:val="21"/>
                    </w:rPr>
                  </w:pPr>
                </w:p>
              </w:tc>
            </w:tr>
            <w:tr w14:paraId="1356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0E32EFB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w:t>
                  </w:r>
                </w:p>
              </w:tc>
              <w:tc>
                <w:tcPr>
                  <w:tcW w:w="926" w:type="pct"/>
                  <w:noWrap w:val="0"/>
                  <w:tcMar>
                    <w:top w:w="120" w:type="dxa"/>
                    <w:left w:w="120" w:type="dxa"/>
                    <w:bottom w:w="120" w:type="dxa"/>
                    <w:right w:w="120" w:type="dxa"/>
                  </w:tcMar>
                  <w:vAlign w:val="center"/>
                </w:tcPr>
                <w:p w14:paraId="10270AE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传感器类型</w:t>
                  </w:r>
                </w:p>
              </w:tc>
              <w:tc>
                <w:tcPr>
                  <w:tcW w:w="2687" w:type="pct"/>
                  <w:noWrap w:val="0"/>
                  <w:tcMar>
                    <w:top w:w="120" w:type="dxa"/>
                    <w:left w:w="120" w:type="dxa"/>
                    <w:bottom w:w="120" w:type="dxa"/>
                    <w:right w:w="120" w:type="dxa"/>
                  </w:tcMar>
                  <w:vAlign w:val="center"/>
                </w:tcPr>
                <w:p w14:paraId="444DB4D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HUMICAP® 薄膜电容式湿度传感器（或同等性能）</w:t>
                  </w:r>
                </w:p>
              </w:tc>
              <w:tc>
                <w:tcPr>
                  <w:tcW w:w="902" w:type="pct"/>
                  <w:noWrap w:val="0"/>
                  <w:tcMar>
                    <w:top w:w="120" w:type="dxa"/>
                    <w:left w:w="120" w:type="dxa"/>
                    <w:bottom w:w="120" w:type="dxa"/>
                    <w:right w:w="120" w:type="dxa"/>
                  </w:tcMar>
                  <w:vAlign w:val="center"/>
                </w:tcPr>
                <w:p w14:paraId="59401E1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第三代及以上技术</w:t>
                  </w:r>
                </w:p>
              </w:tc>
            </w:tr>
            <w:tr w14:paraId="18DD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0D692DE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2</w:t>
                  </w:r>
                </w:p>
              </w:tc>
              <w:tc>
                <w:tcPr>
                  <w:tcW w:w="926" w:type="pct"/>
                  <w:noWrap w:val="0"/>
                  <w:tcMar>
                    <w:top w:w="120" w:type="dxa"/>
                    <w:left w:w="120" w:type="dxa"/>
                    <w:bottom w:w="120" w:type="dxa"/>
                    <w:right w:w="120" w:type="dxa"/>
                  </w:tcMar>
                  <w:vAlign w:val="center"/>
                </w:tcPr>
                <w:p w14:paraId="1E1A28D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测量范围</w:t>
                  </w:r>
                </w:p>
              </w:tc>
              <w:tc>
                <w:tcPr>
                  <w:tcW w:w="2687" w:type="pct"/>
                  <w:noWrap w:val="0"/>
                  <w:tcMar>
                    <w:top w:w="120" w:type="dxa"/>
                    <w:left w:w="120" w:type="dxa"/>
                    <w:bottom w:w="120" w:type="dxa"/>
                    <w:right w:w="120" w:type="dxa"/>
                  </w:tcMar>
                  <w:vAlign w:val="center"/>
                </w:tcPr>
                <w:p w14:paraId="2CF5082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0%～100%RH</w:t>
                  </w:r>
                </w:p>
              </w:tc>
              <w:tc>
                <w:tcPr>
                  <w:tcW w:w="902" w:type="pct"/>
                  <w:noWrap w:val="0"/>
                  <w:tcMar>
                    <w:top w:w="120" w:type="dxa"/>
                    <w:left w:w="120" w:type="dxa"/>
                    <w:bottom w:w="120" w:type="dxa"/>
                    <w:right w:w="120" w:type="dxa"/>
                  </w:tcMar>
                  <w:vAlign w:val="center"/>
                </w:tcPr>
                <w:p w14:paraId="7A7A4D00">
                  <w:pPr>
                    <w:jc w:val="left"/>
                    <w:rPr>
                      <w:rFonts w:hint="eastAsia" w:ascii="宋体" w:hAnsi="宋体" w:eastAsia="宋体" w:cs="宋体"/>
                      <w:b w:val="0"/>
                      <w:bCs w:val="0"/>
                      <w:sz w:val="21"/>
                      <w:szCs w:val="21"/>
                    </w:rPr>
                  </w:pPr>
                </w:p>
              </w:tc>
            </w:tr>
            <w:tr w14:paraId="5CF4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16CD9DD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3</w:t>
                  </w:r>
                </w:p>
              </w:tc>
              <w:tc>
                <w:tcPr>
                  <w:tcW w:w="926" w:type="pct"/>
                  <w:noWrap w:val="0"/>
                  <w:tcMar>
                    <w:top w:w="120" w:type="dxa"/>
                    <w:left w:w="120" w:type="dxa"/>
                    <w:bottom w:w="120" w:type="dxa"/>
                    <w:right w:w="120" w:type="dxa"/>
                  </w:tcMar>
                  <w:vAlign w:val="center"/>
                </w:tcPr>
                <w:p w14:paraId="363DC15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测量准确度</w:t>
                  </w:r>
                </w:p>
              </w:tc>
              <w:tc>
                <w:tcPr>
                  <w:tcW w:w="2687" w:type="pct"/>
                  <w:noWrap w:val="0"/>
                  <w:tcMar>
                    <w:top w:w="120" w:type="dxa"/>
                    <w:left w:w="120" w:type="dxa"/>
                    <w:bottom w:w="120" w:type="dxa"/>
                    <w:right w:w="120" w:type="dxa"/>
                  </w:tcMar>
                  <w:vAlign w:val="center"/>
                </w:tcPr>
                <w:p w14:paraId="54304FA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0～90% RH：±1% RH（15～25℃环境下）90～100%RH：±1.7%RH</w:t>
                  </w:r>
                </w:p>
              </w:tc>
              <w:tc>
                <w:tcPr>
                  <w:tcW w:w="902" w:type="pct"/>
                  <w:noWrap w:val="0"/>
                  <w:tcMar>
                    <w:top w:w="120" w:type="dxa"/>
                    <w:left w:w="120" w:type="dxa"/>
                    <w:bottom w:w="120" w:type="dxa"/>
                    <w:right w:w="120" w:type="dxa"/>
                  </w:tcMar>
                  <w:vAlign w:val="center"/>
                </w:tcPr>
                <w:p w14:paraId="7058EE6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出厂校准数据可溯源</w:t>
                  </w:r>
                </w:p>
              </w:tc>
            </w:tr>
            <w:tr w14:paraId="7823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6335812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4</w:t>
                  </w:r>
                </w:p>
              </w:tc>
              <w:tc>
                <w:tcPr>
                  <w:tcW w:w="926" w:type="pct"/>
                  <w:noWrap w:val="0"/>
                  <w:tcMar>
                    <w:top w:w="120" w:type="dxa"/>
                    <w:left w:w="120" w:type="dxa"/>
                    <w:bottom w:w="120" w:type="dxa"/>
                    <w:right w:w="120" w:type="dxa"/>
                  </w:tcMar>
                  <w:vAlign w:val="center"/>
                </w:tcPr>
                <w:p w14:paraId="72C81014">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温度系数</w:t>
                  </w:r>
                </w:p>
              </w:tc>
              <w:tc>
                <w:tcPr>
                  <w:tcW w:w="2687" w:type="pct"/>
                  <w:noWrap w:val="0"/>
                  <w:tcMar>
                    <w:top w:w="120" w:type="dxa"/>
                    <w:left w:w="120" w:type="dxa"/>
                    <w:bottom w:w="120" w:type="dxa"/>
                    <w:right w:w="120" w:type="dxa"/>
                  </w:tcMar>
                  <w:vAlign w:val="center"/>
                </w:tcPr>
                <w:p w14:paraId="417D2F5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≤±0.05%RH/℃</w:t>
                  </w:r>
                </w:p>
              </w:tc>
              <w:tc>
                <w:tcPr>
                  <w:tcW w:w="902" w:type="pct"/>
                  <w:noWrap w:val="0"/>
                  <w:tcMar>
                    <w:top w:w="120" w:type="dxa"/>
                    <w:left w:w="120" w:type="dxa"/>
                    <w:bottom w:w="120" w:type="dxa"/>
                    <w:right w:w="120" w:type="dxa"/>
                  </w:tcMar>
                  <w:vAlign w:val="center"/>
                </w:tcPr>
                <w:p w14:paraId="62115E55">
                  <w:pPr>
                    <w:jc w:val="left"/>
                    <w:rPr>
                      <w:rFonts w:hint="eastAsia" w:ascii="宋体" w:hAnsi="宋体" w:eastAsia="宋体" w:cs="宋体"/>
                      <w:b w:val="0"/>
                      <w:bCs w:val="0"/>
                      <w:sz w:val="21"/>
                      <w:szCs w:val="21"/>
                    </w:rPr>
                  </w:pPr>
                </w:p>
              </w:tc>
            </w:tr>
            <w:tr w14:paraId="63EF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40E1BAB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5</w:t>
                  </w:r>
                </w:p>
              </w:tc>
              <w:tc>
                <w:tcPr>
                  <w:tcW w:w="926" w:type="pct"/>
                  <w:noWrap w:val="0"/>
                  <w:tcMar>
                    <w:top w:w="120" w:type="dxa"/>
                    <w:left w:w="120" w:type="dxa"/>
                    <w:bottom w:w="120" w:type="dxa"/>
                    <w:right w:w="120" w:type="dxa"/>
                  </w:tcMar>
                  <w:vAlign w:val="center"/>
                </w:tcPr>
                <w:p w14:paraId="69E48E5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响应时间（τ63）</w:t>
                  </w:r>
                </w:p>
              </w:tc>
              <w:tc>
                <w:tcPr>
                  <w:tcW w:w="2687" w:type="pct"/>
                  <w:noWrap w:val="0"/>
                  <w:tcMar>
                    <w:top w:w="120" w:type="dxa"/>
                    <w:left w:w="120" w:type="dxa"/>
                    <w:bottom w:w="120" w:type="dxa"/>
                    <w:right w:w="120" w:type="dxa"/>
                  </w:tcMar>
                  <w:vAlign w:val="center"/>
                </w:tcPr>
                <w:p w14:paraId="7A2BBA5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≤20 秒（风速 3m/s，烧结 PTFE 过滤器）</w:t>
                  </w:r>
                </w:p>
              </w:tc>
              <w:tc>
                <w:tcPr>
                  <w:tcW w:w="902" w:type="pct"/>
                  <w:noWrap w:val="0"/>
                  <w:tcMar>
                    <w:top w:w="120" w:type="dxa"/>
                    <w:left w:w="120" w:type="dxa"/>
                    <w:bottom w:w="120" w:type="dxa"/>
                    <w:right w:w="120" w:type="dxa"/>
                  </w:tcMar>
                  <w:vAlign w:val="center"/>
                </w:tcPr>
                <w:p w14:paraId="2A33AEDB">
                  <w:pPr>
                    <w:jc w:val="left"/>
                    <w:rPr>
                      <w:rFonts w:hint="eastAsia" w:ascii="宋体" w:hAnsi="宋体" w:eastAsia="宋体" w:cs="宋体"/>
                      <w:b w:val="0"/>
                      <w:bCs w:val="0"/>
                      <w:sz w:val="21"/>
                      <w:szCs w:val="21"/>
                    </w:rPr>
                  </w:pPr>
                </w:p>
              </w:tc>
            </w:tr>
            <w:tr w14:paraId="13AF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195CCA4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6</w:t>
                  </w:r>
                </w:p>
              </w:tc>
              <w:tc>
                <w:tcPr>
                  <w:tcW w:w="926" w:type="pct"/>
                  <w:noWrap w:val="0"/>
                  <w:tcMar>
                    <w:top w:w="120" w:type="dxa"/>
                    <w:left w:w="120" w:type="dxa"/>
                    <w:bottom w:w="120" w:type="dxa"/>
                    <w:right w:w="120" w:type="dxa"/>
                  </w:tcMar>
                  <w:vAlign w:val="center"/>
                </w:tcPr>
                <w:p w14:paraId="0C448F3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响应时间（τ90）</w:t>
                  </w:r>
                </w:p>
              </w:tc>
              <w:tc>
                <w:tcPr>
                  <w:tcW w:w="2687" w:type="pct"/>
                  <w:noWrap w:val="0"/>
                  <w:tcMar>
                    <w:top w:w="120" w:type="dxa"/>
                    <w:left w:w="120" w:type="dxa"/>
                    <w:bottom w:w="120" w:type="dxa"/>
                    <w:right w:w="120" w:type="dxa"/>
                  </w:tcMar>
                  <w:vAlign w:val="center"/>
                </w:tcPr>
                <w:p w14:paraId="5A2926D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≤60 秒</w:t>
                  </w:r>
                </w:p>
              </w:tc>
              <w:tc>
                <w:tcPr>
                  <w:tcW w:w="902" w:type="pct"/>
                  <w:noWrap w:val="0"/>
                  <w:tcMar>
                    <w:top w:w="120" w:type="dxa"/>
                    <w:left w:w="120" w:type="dxa"/>
                    <w:bottom w:w="120" w:type="dxa"/>
                    <w:right w:w="120" w:type="dxa"/>
                  </w:tcMar>
                  <w:vAlign w:val="center"/>
                </w:tcPr>
                <w:p w14:paraId="4ACAE104">
                  <w:pPr>
                    <w:jc w:val="left"/>
                    <w:rPr>
                      <w:rFonts w:hint="eastAsia" w:ascii="宋体" w:hAnsi="宋体" w:eastAsia="宋体" w:cs="宋体"/>
                      <w:b w:val="0"/>
                      <w:bCs w:val="0"/>
                      <w:sz w:val="21"/>
                      <w:szCs w:val="21"/>
                    </w:rPr>
                  </w:pPr>
                </w:p>
              </w:tc>
            </w:tr>
            <w:tr w14:paraId="11CE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06DEB00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7</w:t>
                  </w:r>
                </w:p>
              </w:tc>
              <w:tc>
                <w:tcPr>
                  <w:tcW w:w="926" w:type="pct"/>
                  <w:noWrap w:val="0"/>
                  <w:tcMar>
                    <w:top w:w="120" w:type="dxa"/>
                    <w:left w:w="120" w:type="dxa"/>
                    <w:bottom w:w="120" w:type="dxa"/>
                    <w:right w:w="120" w:type="dxa"/>
                  </w:tcMar>
                  <w:vAlign w:val="center"/>
                </w:tcPr>
                <w:p w14:paraId="1DD6709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年漂移量</w:t>
                  </w:r>
                </w:p>
              </w:tc>
              <w:tc>
                <w:tcPr>
                  <w:tcW w:w="2687" w:type="pct"/>
                  <w:noWrap w:val="0"/>
                  <w:tcMar>
                    <w:top w:w="120" w:type="dxa"/>
                    <w:left w:w="120" w:type="dxa"/>
                    <w:bottom w:w="120" w:type="dxa"/>
                    <w:right w:w="120" w:type="dxa"/>
                  </w:tcMar>
                  <w:vAlign w:val="center"/>
                </w:tcPr>
                <w:p w14:paraId="655A1CD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 RH / 年</w:t>
                  </w:r>
                </w:p>
              </w:tc>
              <w:tc>
                <w:tcPr>
                  <w:tcW w:w="902" w:type="pct"/>
                  <w:noWrap w:val="0"/>
                  <w:tcMar>
                    <w:top w:w="120" w:type="dxa"/>
                    <w:left w:w="120" w:type="dxa"/>
                    <w:bottom w:w="120" w:type="dxa"/>
                    <w:right w:w="120" w:type="dxa"/>
                  </w:tcMar>
                  <w:vAlign w:val="center"/>
                </w:tcPr>
                <w:p w14:paraId="22D805C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长期稳定性</w:t>
                  </w:r>
                </w:p>
              </w:tc>
            </w:tr>
            <w:tr w14:paraId="79D8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15BC97A8">
                  <w:pPr>
                    <w:keepNext w:val="0"/>
                    <w:keepLines w:val="0"/>
                    <w:widowControl/>
                    <w:suppressLineNumbers w:val="0"/>
                    <w:jc w:val="left"/>
                    <w:rPr>
                      <w:rFonts w:hint="eastAsia" w:ascii="宋体" w:hAnsi="宋体" w:eastAsia="宋体" w:cs="宋体"/>
                      <w:b w:val="0"/>
                      <w:bCs w:val="0"/>
                      <w:sz w:val="21"/>
                      <w:szCs w:val="21"/>
                    </w:rPr>
                  </w:pPr>
                  <w:r>
                    <w:rPr>
                      <w:rStyle w:val="7"/>
                      <w:rFonts w:hint="eastAsia" w:ascii="宋体" w:hAnsi="宋体" w:eastAsia="宋体" w:cs="宋体"/>
                      <w:b w:val="0"/>
                      <w:bCs w:val="0"/>
                      <w:kern w:val="0"/>
                      <w:sz w:val="21"/>
                      <w:szCs w:val="21"/>
                      <w:lang w:val="en-US" w:eastAsia="zh-CN" w:bidi="ar"/>
                    </w:rPr>
                    <w:t>温度测量</w:t>
                  </w:r>
                </w:p>
              </w:tc>
              <w:tc>
                <w:tcPr>
                  <w:tcW w:w="926" w:type="pct"/>
                  <w:noWrap w:val="0"/>
                  <w:tcMar>
                    <w:top w:w="120" w:type="dxa"/>
                    <w:left w:w="120" w:type="dxa"/>
                    <w:bottom w:w="120" w:type="dxa"/>
                    <w:right w:w="120" w:type="dxa"/>
                  </w:tcMar>
                  <w:vAlign w:val="center"/>
                </w:tcPr>
                <w:p w14:paraId="6173A916">
                  <w:pPr>
                    <w:jc w:val="left"/>
                    <w:rPr>
                      <w:rFonts w:hint="eastAsia" w:ascii="宋体" w:hAnsi="宋体" w:eastAsia="宋体" w:cs="宋体"/>
                      <w:b w:val="0"/>
                      <w:bCs w:val="0"/>
                      <w:sz w:val="21"/>
                      <w:szCs w:val="21"/>
                    </w:rPr>
                  </w:pPr>
                </w:p>
              </w:tc>
              <w:tc>
                <w:tcPr>
                  <w:tcW w:w="2687" w:type="pct"/>
                  <w:noWrap w:val="0"/>
                  <w:tcMar>
                    <w:top w:w="120" w:type="dxa"/>
                    <w:left w:w="120" w:type="dxa"/>
                    <w:bottom w:w="120" w:type="dxa"/>
                    <w:right w:w="120" w:type="dxa"/>
                  </w:tcMar>
                  <w:vAlign w:val="center"/>
                </w:tcPr>
                <w:p w14:paraId="25F52E19">
                  <w:pPr>
                    <w:jc w:val="left"/>
                    <w:rPr>
                      <w:rFonts w:hint="eastAsia" w:ascii="宋体" w:hAnsi="宋体" w:eastAsia="宋体" w:cs="宋体"/>
                      <w:b w:val="0"/>
                      <w:bCs w:val="0"/>
                      <w:sz w:val="21"/>
                      <w:szCs w:val="21"/>
                    </w:rPr>
                  </w:pPr>
                </w:p>
              </w:tc>
              <w:tc>
                <w:tcPr>
                  <w:tcW w:w="902" w:type="pct"/>
                  <w:noWrap w:val="0"/>
                  <w:tcMar>
                    <w:top w:w="120" w:type="dxa"/>
                    <w:left w:w="120" w:type="dxa"/>
                    <w:bottom w:w="120" w:type="dxa"/>
                    <w:right w:w="120" w:type="dxa"/>
                  </w:tcMar>
                  <w:vAlign w:val="center"/>
                </w:tcPr>
                <w:p w14:paraId="5820A532">
                  <w:pPr>
                    <w:jc w:val="left"/>
                    <w:rPr>
                      <w:rFonts w:hint="eastAsia" w:ascii="宋体" w:hAnsi="宋体" w:eastAsia="宋体" w:cs="宋体"/>
                      <w:b w:val="0"/>
                      <w:bCs w:val="0"/>
                      <w:sz w:val="21"/>
                      <w:szCs w:val="21"/>
                    </w:rPr>
                  </w:pPr>
                </w:p>
              </w:tc>
            </w:tr>
            <w:tr w14:paraId="122C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1EC8111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8</w:t>
                  </w:r>
                </w:p>
              </w:tc>
              <w:tc>
                <w:tcPr>
                  <w:tcW w:w="926" w:type="pct"/>
                  <w:noWrap w:val="0"/>
                  <w:tcMar>
                    <w:top w:w="120" w:type="dxa"/>
                    <w:left w:w="120" w:type="dxa"/>
                    <w:bottom w:w="120" w:type="dxa"/>
                    <w:right w:w="120" w:type="dxa"/>
                  </w:tcMar>
                  <w:vAlign w:val="center"/>
                </w:tcPr>
                <w:p w14:paraId="6B18876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传感器类型</w:t>
                  </w:r>
                </w:p>
              </w:tc>
              <w:tc>
                <w:tcPr>
                  <w:tcW w:w="2687" w:type="pct"/>
                  <w:noWrap w:val="0"/>
                  <w:tcMar>
                    <w:top w:w="120" w:type="dxa"/>
                    <w:left w:w="120" w:type="dxa"/>
                    <w:bottom w:w="120" w:type="dxa"/>
                    <w:right w:w="120" w:type="dxa"/>
                  </w:tcMar>
                  <w:vAlign w:val="center"/>
                </w:tcPr>
                <w:p w14:paraId="4AB5239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Pt100 铂电阻，A 级（IEC 60751 Class F 0.1）</w:t>
                  </w:r>
                </w:p>
              </w:tc>
              <w:tc>
                <w:tcPr>
                  <w:tcW w:w="902" w:type="pct"/>
                  <w:noWrap w:val="0"/>
                  <w:tcMar>
                    <w:top w:w="120" w:type="dxa"/>
                    <w:left w:w="120" w:type="dxa"/>
                    <w:bottom w:w="120" w:type="dxa"/>
                    <w:right w:w="120" w:type="dxa"/>
                  </w:tcMar>
                  <w:vAlign w:val="center"/>
                </w:tcPr>
                <w:p w14:paraId="1EDBDB4E">
                  <w:pPr>
                    <w:jc w:val="left"/>
                    <w:rPr>
                      <w:rFonts w:hint="eastAsia" w:ascii="宋体" w:hAnsi="宋体" w:eastAsia="宋体" w:cs="宋体"/>
                      <w:b w:val="0"/>
                      <w:bCs w:val="0"/>
                      <w:sz w:val="21"/>
                      <w:szCs w:val="21"/>
                    </w:rPr>
                  </w:pPr>
                </w:p>
              </w:tc>
            </w:tr>
            <w:tr w14:paraId="2EEF5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276BE99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9</w:t>
                  </w:r>
                </w:p>
              </w:tc>
              <w:tc>
                <w:tcPr>
                  <w:tcW w:w="926" w:type="pct"/>
                  <w:noWrap w:val="0"/>
                  <w:tcMar>
                    <w:top w:w="120" w:type="dxa"/>
                    <w:left w:w="120" w:type="dxa"/>
                    <w:bottom w:w="120" w:type="dxa"/>
                    <w:right w:w="120" w:type="dxa"/>
                  </w:tcMar>
                  <w:vAlign w:val="center"/>
                </w:tcPr>
                <w:p w14:paraId="74E8F3FF">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测量范围</w:t>
                  </w:r>
                </w:p>
              </w:tc>
              <w:tc>
                <w:tcPr>
                  <w:tcW w:w="2687" w:type="pct"/>
                  <w:noWrap w:val="0"/>
                  <w:tcMar>
                    <w:top w:w="120" w:type="dxa"/>
                    <w:left w:w="120" w:type="dxa"/>
                    <w:bottom w:w="120" w:type="dxa"/>
                    <w:right w:w="120" w:type="dxa"/>
                  </w:tcMar>
                  <w:vAlign w:val="center"/>
                </w:tcPr>
                <w:p w14:paraId="7F6E987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-80℃～+60℃</w:t>
                  </w:r>
                </w:p>
              </w:tc>
              <w:tc>
                <w:tcPr>
                  <w:tcW w:w="902" w:type="pct"/>
                  <w:noWrap w:val="0"/>
                  <w:tcMar>
                    <w:top w:w="120" w:type="dxa"/>
                    <w:left w:w="120" w:type="dxa"/>
                    <w:bottom w:w="120" w:type="dxa"/>
                    <w:right w:w="120" w:type="dxa"/>
                  </w:tcMar>
                  <w:vAlign w:val="center"/>
                </w:tcPr>
                <w:p w14:paraId="6E9A4BF7">
                  <w:pPr>
                    <w:jc w:val="left"/>
                    <w:rPr>
                      <w:rFonts w:hint="eastAsia" w:ascii="宋体" w:hAnsi="宋体" w:eastAsia="宋体" w:cs="宋体"/>
                      <w:b w:val="0"/>
                      <w:bCs w:val="0"/>
                      <w:sz w:val="21"/>
                      <w:szCs w:val="21"/>
                    </w:rPr>
                  </w:pPr>
                </w:p>
              </w:tc>
            </w:tr>
            <w:tr w14:paraId="6402A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70F5FC5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w:t>
                  </w:r>
                </w:p>
              </w:tc>
              <w:tc>
                <w:tcPr>
                  <w:tcW w:w="926" w:type="pct"/>
                  <w:noWrap w:val="0"/>
                  <w:tcMar>
                    <w:top w:w="120" w:type="dxa"/>
                    <w:left w:w="120" w:type="dxa"/>
                    <w:bottom w:w="120" w:type="dxa"/>
                    <w:right w:w="120" w:type="dxa"/>
                  </w:tcMar>
                  <w:vAlign w:val="center"/>
                </w:tcPr>
                <w:p w14:paraId="120A1F9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测量准确度</w:t>
                  </w:r>
                </w:p>
              </w:tc>
              <w:tc>
                <w:tcPr>
                  <w:tcW w:w="2687" w:type="pct"/>
                  <w:noWrap w:val="0"/>
                  <w:tcMar>
                    <w:top w:w="120" w:type="dxa"/>
                    <w:left w:w="120" w:type="dxa"/>
                    <w:bottom w:w="120" w:type="dxa"/>
                    <w:right w:w="120" w:type="dxa"/>
                  </w:tcMar>
                  <w:vAlign w:val="center"/>
                </w:tcPr>
                <w:p w14:paraId="72DF36D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±0.12℃（20℃时，数字输出）±0.17℃（20℃时，电压输出）</w:t>
                  </w:r>
                </w:p>
              </w:tc>
              <w:tc>
                <w:tcPr>
                  <w:tcW w:w="902" w:type="pct"/>
                  <w:noWrap w:val="0"/>
                  <w:tcMar>
                    <w:top w:w="120" w:type="dxa"/>
                    <w:left w:w="120" w:type="dxa"/>
                    <w:bottom w:w="120" w:type="dxa"/>
                    <w:right w:w="120" w:type="dxa"/>
                  </w:tcMar>
                  <w:vAlign w:val="center"/>
                </w:tcPr>
                <w:p w14:paraId="624EC829">
                  <w:pPr>
                    <w:jc w:val="left"/>
                    <w:rPr>
                      <w:rFonts w:hint="eastAsia" w:ascii="宋体" w:hAnsi="宋体" w:eastAsia="宋体" w:cs="宋体"/>
                      <w:b w:val="0"/>
                      <w:bCs w:val="0"/>
                      <w:sz w:val="21"/>
                      <w:szCs w:val="21"/>
                    </w:rPr>
                  </w:pPr>
                </w:p>
              </w:tc>
            </w:tr>
            <w:tr w14:paraId="3CC7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093C0590">
                  <w:pPr>
                    <w:keepNext w:val="0"/>
                    <w:keepLines w:val="0"/>
                    <w:widowControl/>
                    <w:suppressLineNumbers w:val="0"/>
                    <w:jc w:val="left"/>
                    <w:rPr>
                      <w:rFonts w:hint="eastAsia" w:ascii="宋体" w:hAnsi="宋体" w:eastAsia="宋体" w:cs="宋体"/>
                      <w:b w:val="0"/>
                      <w:bCs w:val="0"/>
                      <w:sz w:val="21"/>
                      <w:szCs w:val="21"/>
                    </w:rPr>
                  </w:pPr>
                  <w:r>
                    <w:rPr>
                      <w:rStyle w:val="7"/>
                      <w:rFonts w:hint="eastAsia" w:ascii="宋体" w:hAnsi="宋体" w:eastAsia="宋体" w:cs="宋体"/>
                      <w:b w:val="0"/>
                      <w:bCs w:val="0"/>
                      <w:kern w:val="0"/>
                      <w:sz w:val="21"/>
                      <w:szCs w:val="21"/>
                      <w:lang w:val="en-US" w:eastAsia="zh-CN" w:bidi="ar"/>
                    </w:rPr>
                    <w:t>通用参数</w:t>
                  </w:r>
                </w:p>
              </w:tc>
              <w:tc>
                <w:tcPr>
                  <w:tcW w:w="926" w:type="pct"/>
                  <w:noWrap w:val="0"/>
                  <w:tcMar>
                    <w:top w:w="120" w:type="dxa"/>
                    <w:left w:w="120" w:type="dxa"/>
                    <w:bottom w:w="120" w:type="dxa"/>
                    <w:right w:w="120" w:type="dxa"/>
                  </w:tcMar>
                  <w:vAlign w:val="center"/>
                </w:tcPr>
                <w:p w14:paraId="5016C0F6">
                  <w:pPr>
                    <w:jc w:val="left"/>
                    <w:rPr>
                      <w:rFonts w:hint="eastAsia" w:ascii="宋体" w:hAnsi="宋体" w:eastAsia="宋体" w:cs="宋体"/>
                      <w:b w:val="0"/>
                      <w:bCs w:val="0"/>
                      <w:sz w:val="21"/>
                      <w:szCs w:val="21"/>
                    </w:rPr>
                  </w:pPr>
                </w:p>
              </w:tc>
              <w:tc>
                <w:tcPr>
                  <w:tcW w:w="2687" w:type="pct"/>
                  <w:noWrap w:val="0"/>
                  <w:tcMar>
                    <w:top w:w="120" w:type="dxa"/>
                    <w:left w:w="120" w:type="dxa"/>
                    <w:bottom w:w="120" w:type="dxa"/>
                    <w:right w:w="120" w:type="dxa"/>
                  </w:tcMar>
                  <w:vAlign w:val="center"/>
                </w:tcPr>
                <w:p w14:paraId="7CA01E86">
                  <w:pPr>
                    <w:jc w:val="left"/>
                    <w:rPr>
                      <w:rFonts w:hint="eastAsia" w:ascii="宋体" w:hAnsi="宋体" w:eastAsia="宋体" w:cs="宋体"/>
                      <w:b w:val="0"/>
                      <w:bCs w:val="0"/>
                      <w:sz w:val="21"/>
                      <w:szCs w:val="21"/>
                    </w:rPr>
                  </w:pPr>
                </w:p>
              </w:tc>
              <w:tc>
                <w:tcPr>
                  <w:tcW w:w="902" w:type="pct"/>
                  <w:noWrap w:val="0"/>
                  <w:tcMar>
                    <w:top w:w="120" w:type="dxa"/>
                    <w:left w:w="120" w:type="dxa"/>
                    <w:bottom w:w="120" w:type="dxa"/>
                    <w:right w:w="120" w:type="dxa"/>
                  </w:tcMar>
                  <w:vAlign w:val="center"/>
                </w:tcPr>
                <w:p w14:paraId="487C9CDE">
                  <w:pPr>
                    <w:jc w:val="left"/>
                    <w:rPr>
                      <w:rFonts w:hint="eastAsia" w:ascii="宋体" w:hAnsi="宋体" w:eastAsia="宋体" w:cs="宋体"/>
                      <w:b w:val="0"/>
                      <w:bCs w:val="0"/>
                      <w:sz w:val="21"/>
                      <w:szCs w:val="21"/>
                    </w:rPr>
                  </w:pPr>
                </w:p>
              </w:tc>
            </w:tr>
            <w:tr w14:paraId="70D2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108C957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11</w:t>
                  </w:r>
                </w:p>
              </w:tc>
              <w:tc>
                <w:tcPr>
                  <w:tcW w:w="926" w:type="pct"/>
                  <w:noWrap w:val="0"/>
                  <w:tcMar>
                    <w:top w:w="120" w:type="dxa"/>
                    <w:left w:w="120" w:type="dxa"/>
                    <w:bottom w:w="120" w:type="dxa"/>
                    <w:right w:w="120" w:type="dxa"/>
                  </w:tcMar>
                  <w:vAlign w:val="center"/>
                </w:tcPr>
                <w:p w14:paraId="3A09800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输出信号</w:t>
                  </w:r>
                </w:p>
              </w:tc>
              <w:tc>
                <w:tcPr>
                  <w:tcW w:w="2687" w:type="pct"/>
                  <w:noWrap w:val="0"/>
                  <w:tcMar>
                    <w:top w:w="120" w:type="dxa"/>
                    <w:left w:w="120" w:type="dxa"/>
                    <w:bottom w:w="120" w:type="dxa"/>
                    <w:right w:w="120" w:type="dxa"/>
                  </w:tcMar>
                  <w:vAlign w:val="center"/>
                </w:tcPr>
                <w:p w14:paraId="3D63FAF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电压输出</w:t>
                  </w:r>
                </w:p>
              </w:tc>
              <w:tc>
                <w:tcPr>
                  <w:tcW w:w="902" w:type="pct"/>
                  <w:noWrap w:val="0"/>
                  <w:tcMar>
                    <w:top w:w="120" w:type="dxa"/>
                    <w:left w:w="120" w:type="dxa"/>
                    <w:bottom w:w="120" w:type="dxa"/>
                    <w:right w:w="120" w:type="dxa"/>
                  </w:tcMar>
                  <w:vAlign w:val="center"/>
                </w:tcPr>
                <w:p w14:paraId="2B4D710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按需选配</w:t>
                  </w:r>
                </w:p>
              </w:tc>
            </w:tr>
            <w:tr w14:paraId="5BEF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6BC8D54D">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12</w:t>
                  </w:r>
                </w:p>
              </w:tc>
              <w:tc>
                <w:tcPr>
                  <w:tcW w:w="926" w:type="pct"/>
                  <w:noWrap w:val="0"/>
                  <w:tcMar>
                    <w:top w:w="120" w:type="dxa"/>
                    <w:left w:w="120" w:type="dxa"/>
                    <w:bottom w:w="120" w:type="dxa"/>
                    <w:right w:w="120" w:type="dxa"/>
                  </w:tcMar>
                  <w:vAlign w:val="center"/>
                </w:tcPr>
                <w:p w14:paraId="1F88FC3E">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供电电压</w:t>
                  </w:r>
                </w:p>
              </w:tc>
              <w:tc>
                <w:tcPr>
                  <w:tcW w:w="2687" w:type="pct"/>
                  <w:noWrap w:val="0"/>
                  <w:tcMar>
                    <w:top w:w="120" w:type="dxa"/>
                    <w:left w:w="120" w:type="dxa"/>
                    <w:bottom w:w="120" w:type="dxa"/>
                    <w:right w:w="120" w:type="dxa"/>
                  </w:tcMar>
                  <w:vAlign w:val="center"/>
                </w:tcPr>
                <w:p w14:paraId="4204EF3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9～35V DC</w:t>
                  </w:r>
                </w:p>
              </w:tc>
              <w:tc>
                <w:tcPr>
                  <w:tcW w:w="902" w:type="pct"/>
                  <w:noWrap w:val="0"/>
                  <w:tcMar>
                    <w:top w:w="120" w:type="dxa"/>
                    <w:left w:w="120" w:type="dxa"/>
                    <w:bottom w:w="120" w:type="dxa"/>
                    <w:right w:w="120" w:type="dxa"/>
                  </w:tcMar>
                  <w:vAlign w:val="center"/>
                </w:tcPr>
                <w:p w14:paraId="436835AB">
                  <w:pPr>
                    <w:jc w:val="left"/>
                    <w:rPr>
                      <w:rFonts w:hint="eastAsia" w:ascii="宋体" w:hAnsi="宋体" w:eastAsia="宋体" w:cs="宋体"/>
                      <w:b w:val="0"/>
                      <w:bCs w:val="0"/>
                      <w:sz w:val="21"/>
                      <w:szCs w:val="21"/>
                    </w:rPr>
                  </w:pPr>
                </w:p>
              </w:tc>
            </w:tr>
            <w:tr w14:paraId="537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2AC20CA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13</w:t>
                  </w:r>
                </w:p>
              </w:tc>
              <w:tc>
                <w:tcPr>
                  <w:tcW w:w="926" w:type="pct"/>
                  <w:noWrap w:val="0"/>
                  <w:tcMar>
                    <w:top w:w="120" w:type="dxa"/>
                    <w:left w:w="120" w:type="dxa"/>
                    <w:bottom w:w="120" w:type="dxa"/>
                    <w:right w:w="120" w:type="dxa"/>
                  </w:tcMar>
                  <w:vAlign w:val="center"/>
                </w:tcPr>
                <w:p w14:paraId="06C1EC5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工作环境温度</w:t>
                  </w:r>
                </w:p>
              </w:tc>
              <w:tc>
                <w:tcPr>
                  <w:tcW w:w="2687" w:type="pct"/>
                  <w:noWrap w:val="0"/>
                  <w:tcMar>
                    <w:top w:w="120" w:type="dxa"/>
                    <w:left w:w="120" w:type="dxa"/>
                    <w:bottom w:w="120" w:type="dxa"/>
                    <w:right w:w="120" w:type="dxa"/>
                  </w:tcMar>
                  <w:vAlign w:val="center"/>
                </w:tcPr>
                <w:p w14:paraId="25944060">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-40℃～+60℃</w:t>
                  </w:r>
                </w:p>
              </w:tc>
              <w:tc>
                <w:tcPr>
                  <w:tcW w:w="902" w:type="pct"/>
                  <w:noWrap w:val="0"/>
                  <w:tcMar>
                    <w:top w:w="120" w:type="dxa"/>
                    <w:left w:w="120" w:type="dxa"/>
                    <w:bottom w:w="120" w:type="dxa"/>
                    <w:right w:w="120" w:type="dxa"/>
                  </w:tcMar>
                  <w:vAlign w:val="center"/>
                </w:tcPr>
                <w:p w14:paraId="5344767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整机工作温度</w:t>
                  </w:r>
                </w:p>
              </w:tc>
            </w:tr>
            <w:tr w14:paraId="1938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6285765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14</w:t>
                  </w:r>
                </w:p>
              </w:tc>
              <w:tc>
                <w:tcPr>
                  <w:tcW w:w="926" w:type="pct"/>
                  <w:noWrap w:val="0"/>
                  <w:tcMar>
                    <w:top w:w="120" w:type="dxa"/>
                    <w:left w:w="120" w:type="dxa"/>
                    <w:bottom w:w="120" w:type="dxa"/>
                    <w:right w:w="120" w:type="dxa"/>
                  </w:tcMar>
                  <w:vAlign w:val="center"/>
                </w:tcPr>
                <w:p w14:paraId="632B288C">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防护等级</w:t>
                  </w:r>
                </w:p>
              </w:tc>
              <w:tc>
                <w:tcPr>
                  <w:tcW w:w="2687" w:type="pct"/>
                  <w:noWrap w:val="0"/>
                  <w:tcMar>
                    <w:top w:w="120" w:type="dxa"/>
                    <w:left w:w="120" w:type="dxa"/>
                    <w:bottom w:w="120" w:type="dxa"/>
                    <w:right w:w="120" w:type="dxa"/>
                  </w:tcMar>
                  <w:vAlign w:val="center"/>
                </w:tcPr>
                <w:p w14:paraId="4EDDBD7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≥IP66</w:t>
                  </w:r>
                </w:p>
              </w:tc>
              <w:tc>
                <w:tcPr>
                  <w:tcW w:w="902" w:type="pct"/>
                  <w:noWrap w:val="0"/>
                  <w:tcMar>
                    <w:top w:w="120" w:type="dxa"/>
                    <w:left w:w="120" w:type="dxa"/>
                    <w:bottom w:w="120" w:type="dxa"/>
                    <w:right w:w="120" w:type="dxa"/>
                  </w:tcMar>
                  <w:vAlign w:val="center"/>
                </w:tcPr>
                <w:p w14:paraId="7969D13C">
                  <w:pPr>
                    <w:jc w:val="left"/>
                    <w:rPr>
                      <w:rFonts w:hint="eastAsia" w:ascii="宋体" w:hAnsi="宋体" w:eastAsia="宋体" w:cs="宋体"/>
                      <w:b w:val="0"/>
                      <w:bCs w:val="0"/>
                      <w:sz w:val="21"/>
                      <w:szCs w:val="21"/>
                    </w:rPr>
                  </w:pPr>
                </w:p>
              </w:tc>
            </w:tr>
            <w:tr w14:paraId="724C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251E5275">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15</w:t>
                  </w:r>
                </w:p>
              </w:tc>
              <w:tc>
                <w:tcPr>
                  <w:tcW w:w="926" w:type="pct"/>
                  <w:noWrap w:val="0"/>
                  <w:tcMar>
                    <w:top w:w="120" w:type="dxa"/>
                    <w:left w:w="120" w:type="dxa"/>
                    <w:bottom w:w="120" w:type="dxa"/>
                    <w:right w:w="120" w:type="dxa"/>
                  </w:tcMar>
                  <w:vAlign w:val="center"/>
                </w:tcPr>
                <w:p w14:paraId="2BA5D609">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传感器保护</w:t>
                  </w:r>
                </w:p>
              </w:tc>
              <w:tc>
                <w:tcPr>
                  <w:tcW w:w="2687" w:type="pct"/>
                  <w:noWrap w:val="0"/>
                  <w:tcMar>
                    <w:top w:w="120" w:type="dxa"/>
                    <w:left w:w="120" w:type="dxa"/>
                    <w:bottom w:w="120" w:type="dxa"/>
                    <w:right w:w="120" w:type="dxa"/>
                  </w:tcMar>
                  <w:vAlign w:val="center"/>
                </w:tcPr>
                <w:p w14:paraId="71C3FDBB">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烧结 PTFE 过滤器</w:t>
                  </w:r>
                </w:p>
              </w:tc>
              <w:tc>
                <w:tcPr>
                  <w:tcW w:w="902" w:type="pct"/>
                  <w:noWrap w:val="0"/>
                  <w:tcMar>
                    <w:top w:w="120" w:type="dxa"/>
                    <w:left w:w="120" w:type="dxa"/>
                    <w:bottom w:w="120" w:type="dxa"/>
                    <w:right w:w="120" w:type="dxa"/>
                  </w:tcMar>
                  <w:vAlign w:val="center"/>
                </w:tcPr>
                <w:p w14:paraId="53EC40C5">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防尘、防水、透气</w:t>
                  </w:r>
                </w:p>
              </w:tc>
            </w:tr>
            <w:tr w14:paraId="6664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4962C7B8">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16</w:t>
                  </w:r>
                </w:p>
              </w:tc>
              <w:tc>
                <w:tcPr>
                  <w:tcW w:w="926" w:type="pct"/>
                  <w:noWrap w:val="0"/>
                  <w:tcMar>
                    <w:top w:w="120" w:type="dxa"/>
                    <w:left w:w="120" w:type="dxa"/>
                    <w:bottom w:w="120" w:type="dxa"/>
                    <w:right w:w="120" w:type="dxa"/>
                  </w:tcMar>
                  <w:vAlign w:val="center"/>
                </w:tcPr>
                <w:p w14:paraId="3F20004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机械接口</w:t>
                  </w:r>
                </w:p>
              </w:tc>
              <w:tc>
                <w:tcPr>
                  <w:tcW w:w="2687" w:type="pct"/>
                  <w:noWrap w:val="0"/>
                  <w:tcMar>
                    <w:top w:w="120" w:type="dxa"/>
                    <w:left w:w="120" w:type="dxa"/>
                    <w:bottom w:w="120" w:type="dxa"/>
                    <w:right w:w="120" w:type="dxa"/>
                  </w:tcMar>
                  <w:vAlign w:val="center"/>
                </w:tcPr>
                <w:p w14:paraId="093FF3C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M12 8 针航空插头</w:t>
                  </w:r>
                </w:p>
              </w:tc>
              <w:tc>
                <w:tcPr>
                  <w:tcW w:w="902" w:type="pct"/>
                  <w:noWrap w:val="0"/>
                  <w:tcMar>
                    <w:top w:w="120" w:type="dxa"/>
                    <w:left w:w="120" w:type="dxa"/>
                    <w:bottom w:w="120" w:type="dxa"/>
                    <w:right w:w="120" w:type="dxa"/>
                  </w:tcMar>
                  <w:vAlign w:val="center"/>
                </w:tcPr>
                <w:p w14:paraId="0D12157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标准接口</w:t>
                  </w:r>
                </w:p>
              </w:tc>
            </w:tr>
            <w:tr w14:paraId="3AFE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308F02F3">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17</w:t>
                  </w:r>
                </w:p>
              </w:tc>
              <w:tc>
                <w:tcPr>
                  <w:tcW w:w="926" w:type="pct"/>
                  <w:noWrap w:val="0"/>
                  <w:tcMar>
                    <w:top w:w="120" w:type="dxa"/>
                    <w:left w:w="120" w:type="dxa"/>
                    <w:bottom w:w="120" w:type="dxa"/>
                    <w:right w:w="120" w:type="dxa"/>
                  </w:tcMar>
                  <w:vAlign w:val="center"/>
                </w:tcPr>
                <w:p w14:paraId="11A08BBA">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电缆长度</w:t>
                  </w:r>
                </w:p>
              </w:tc>
              <w:tc>
                <w:tcPr>
                  <w:tcW w:w="2687" w:type="pct"/>
                  <w:noWrap w:val="0"/>
                  <w:tcMar>
                    <w:top w:w="120" w:type="dxa"/>
                    <w:left w:w="120" w:type="dxa"/>
                    <w:bottom w:w="120" w:type="dxa"/>
                    <w:right w:w="120" w:type="dxa"/>
                  </w:tcMar>
                  <w:vAlign w:val="center"/>
                </w:tcPr>
                <w:p w14:paraId="26385047">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≥_</w:t>
                  </w:r>
                  <w:r>
                    <w:rPr>
                      <w:rFonts w:hint="eastAsia" w:ascii="宋体" w:hAnsi="宋体" w:eastAsia="宋体" w:cs="宋体"/>
                      <w:b w:val="0"/>
                      <w:bCs w:val="0"/>
                      <w:kern w:val="0"/>
                      <w:sz w:val="21"/>
                      <w:szCs w:val="21"/>
                      <w:u w:val="single"/>
                      <w:lang w:val="en-US" w:eastAsia="zh-CN" w:bidi="ar"/>
                    </w:rPr>
                    <w:t>_3.5</w:t>
                  </w:r>
                  <w:r>
                    <w:rPr>
                      <w:rFonts w:hint="eastAsia" w:ascii="宋体" w:hAnsi="宋体" w:eastAsia="宋体" w:cs="宋体"/>
                      <w:b w:val="0"/>
                      <w:bCs w:val="0"/>
                      <w:kern w:val="0"/>
                      <w:sz w:val="21"/>
                      <w:szCs w:val="21"/>
                      <w:lang w:val="en-US" w:eastAsia="zh-CN" w:bidi="ar"/>
                    </w:rPr>
                    <w:t>__米（标配 3.5 米 / 10 米 / 30 米可选）</w:t>
                  </w:r>
                </w:p>
              </w:tc>
              <w:tc>
                <w:tcPr>
                  <w:tcW w:w="902" w:type="pct"/>
                  <w:noWrap w:val="0"/>
                  <w:tcMar>
                    <w:top w:w="120" w:type="dxa"/>
                    <w:left w:w="120" w:type="dxa"/>
                    <w:bottom w:w="120" w:type="dxa"/>
                    <w:right w:w="120" w:type="dxa"/>
                  </w:tcMar>
                  <w:vAlign w:val="center"/>
                </w:tcPr>
                <w:p w14:paraId="1A4A2311">
                  <w:pPr>
                    <w:jc w:val="left"/>
                    <w:rPr>
                      <w:rFonts w:hint="eastAsia" w:ascii="宋体" w:hAnsi="宋体" w:eastAsia="宋体" w:cs="宋体"/>
                      <w:b w:val="0"/>
                      <w:bCs w:val="0"/>
                      <w:sz w:val="21"/>
                      <w:szCs w:val="21"/>
                    </w:rPr>
                  </w:pPr>
                </w:p>
              </w:tc>
            </w:tr>
            <w:tr w14:paraId="320D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06221B5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18</w:t>
                  </w:r>
                </w:p>
              </w:tc>
              <w:tc>
                <w:tcPr>
                  <w:tcW w:w="926" w:type="pct"/>
                  <w:noWrap w:val="0"/>
                  <w:tcMar>
                    <w:top w:w="120" w:type="dxa"/>
                    <w:left w:w="120" w:type="dxa"/>
                    <w:bottom w:w="120" w:type="dxa"/>
                    <w:right w:w="120" w:type="dxa"/>
                  </w:tcMar>
                  <w:vAlign w:val="center"/>
                </w:tcPr>
                <w:p w14:paraId="7DDF012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探头材质</w:t>
                  </w:r>
                </w:p>
              </w:tc>
              <w:tc>
                <w:tcPr>
                  <w:tcW w:w="2687" w:type="pct"/>
                  <w:noWrap w:val="0"/>
                  <w:tcMar>
                    <w:top w:w="120" w:type="dxa"/>
                    <w:left w:w="120" w:type="dxa"/>
                    <w:bottom w:w="120" w:type="dxa"/>
                    <w:right w:w="120" w:type="dxa"/>
                  </w:tcMar>
                  <w:vAlign w:val="center"/>
                </w:tcPr>
                <w:p w14:paraId="7D0B87D2">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PC 工程塑料外壳，不锈钢感湿段</w:t>
                  </w:r>
                </w:p>
              </w:tc>
              <w:tc>
                <w:tcPr>
                  <w:tcW w:w="902" w:type="pct"/>
                  <w:noWrap w:val="0"/>
                  <w:tcMar>
                    <w:top w:w="120" w:type="dxa"/>
                    <w:left w:w="120" w:type="dxa"/>
                    <w:bottom w:w="120" w:type="dxa"/>
                    <w:right w:w="120" w:type="dxa"/>
                  </w:tcMar>
                  <w:vAlign w:val="center"/>
                </w:tcPr>
                <w:p w14:paraId="4154FB67">
                  <w:pPr>
                    <w:jc w:val="left"/>
                    <w:rPr>
                      <w:rFonts w:hint="eastAsia" w:ascii="宋体" w:hAnsi="宋体" w:eastAsia="宋体" w:cs="宋体"/>
                      <w:b w:val="0"/>
                      <w:bCs w:val="0"/>
                      <w:sz w:val="21"/>
                      <w:szCs w:val="21"/>
                    </w:rPr>
                  </w:pPr>
                </w:p>
              </w:tc>
            </w:tr>
            <w:tr w14:paraId="2943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3" w:type="pct"/>
                  <w:noWrap w:val="0"/>
                  <w:tcMar>
                    <w:top w:w="120" w:type="dxa"/>
                    <w:left w:w="120" w:type="dxa"/>
                    <w:bottom w:w="120" w:type="dxa"/>
                    <w:right w:w="120" w:type="dxa"/>
                  </w:tcMar>
                  <w:vAlign w:val="center"/>
                </w:tcPr>
                <w:p w14:paraId="336A29EF">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19</w:t>
                  </w:r>
                </w:p>
              </w:tc>
              <w:tc>
                <w:tcPr>
                  <w:tcW w:w="926" w:type="pct"/>
                  <w:noWrap w:val="0"/>
                  <w:tcMar>
                    <w:top w:w="120" w:type="dxa"/>
                    <w:left w:w="120" w:type="dxa"/>
                    <w:bottom w:w="120" w:type="dxa"/>
                    <w:right w:w="120" w:type="dxa"/>
                  </w:tcMar>
                  <w:vAlign w:val="center"/>
                </w:tcPr>
                <w:p w14:paraId="04FF1CD6">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重量</w:t>
                  </w:r>
                </w:p>
              </w:tc>
              <w:tc>
                <w:tcPr>
                  <w:tcW w:w="2687" w:type="pct"/>
                  <w:noWrap w:val="0"/>
                  <w:tcMar>
                    <w:top w:w="120" w:type="dxa"/>
                    <w:left w:w="120" w:type="dxa"/>
                    <w:bottom w:w="120" w:type="dxa"/>
                    <w:right w:w="120" w:type="dxa"/>
                  </w:tcMar>
                  <w:vAlign w:val="center"/>
                </w:tcPr>
                <w:p w14:paraId="63DA5201">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≤100g（探头本体）</w:t>
                  </w:r>
                </w:p>
              </w:tc>
              <w:tc>
                <w:tcPr>
                  <w:tcW w:w="902" w:type="pct"/>
                  <w:noWrap w:val="0"/>
                  <w:tcMar>
                    <w:top w:w="120" w:type="dxa"/>
                    <w:left w:w="120" w:type="dxa"/>
                    <w:bottom w:w="120" w:type="dxa"/>
                    <w:right w:w="120" w:type="dxa"/>
                  </w:tcMar>
                  <w:vAlign w:val="center"/>
                </w:tcPr>
                <w:p w14:paraId="7FA1D9A2">
                  <w:pPr>
                    <w:jc w:val="left"/>
                    <w:rPr>
                      <w:rFonts w:hint="eastAsia" w:ascii="宋体" w:hAnsi="宋体" w:eastAsia="宋体" w:cs="宋体"/>
                      <w:b w:val="0"/>
                      <w:bCs w:val="0"/>
                      <w:sz w:val="21"/>
                      <w:szCs w:val="21"/>
                    </w:rPr>
                  </w:pPr>
                </w:p>
              </w:tc>
            </w:tr>
          </w:tbl>
          <w:p w14:paraId="473F4DC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五、采购项目服务要求</w:t>
            </w:r>
          </w:p>
          <w:p w14:paraId="6659E0EA">
            <w:pPr>
              <w:pStyle w:val="8"/>
              <w:spacing w:line="500" w:lineRule="exact"/>
              <w:ind w:firstLine="210" w:firstLineChars="1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w:t>
            </w:r>
            <w:r>
              <w:rPr>
                <w:rFonts w:hint="eastAsia" w:ascii="宋体" w:hAnsi="宋体" w:eastAsia="宋体" w:cs="宋体"/>
                <w:color w:val="auto"/>
                <w:kern w:val="2"/>
                <w:sz w:val="21"/>
                <w:szCs w:val="21"/>
                <w:lang w:eastAsia="zh-CN"/>
              </w:rPr>
              <w:t>供货期</w:t>
            </w:r>
            <w:r>
              <w:rPr>
                <w:rFonts w:hint="eastAsia" w:ascii="宋体" w:hAnsi="宋体" w:eastAsia="宋体" w:cs="宋体"/>
                <w:color w:val="auto"/>
                <w:kern w:val="2"/>
                <w:sz w:val="21"/>
                <w:szCs w:val="21"/>
              </w:rPr>
              <w:t>：自合同签订之日起1个月内。</w:t>
            </w:r>
          </w:p>
          <w:p w14:paraId="585DC49F">
            <w:pPr>
              <w:pStyle w:val="8"/>
              <w:spacing w:line="500" w:lineRule="exact"/>
              <w:ind w:firstLine="210" w:firstLineChars="1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w:t>
            </w:r>
            <w:r>
              <w:rPr>
                <w:rFonts w:hint="eastAsia" w:ascii="宋体" w:hAnsi="宋体" w:eastAsia="宋体" w:cs="宋体"/>
                <w:color w:val="auto"/>
                <w:kern w:val="2"/>
                <w:sz w:val="21"/>
                <w:szCs w:val="21"/>
                <w:lang w:eastAsia="zh-CN"/>
              </w:rPr>
              <w:t>供货地点</w:t>
            </w:r>
            <w:r>
              <w:rPr>
                <w:rFonts w:hint="eastAsia" w:ascii="宋体" w:hAnsi="宋体" w:eastAsia="宋体" w:cs="宋体"/>
                <w:color w:val="auto"/>
                <w:kern w:val="2"/>
                <w:sz w:val="21"/>
                <w:szCs w:val="21"/>
              </w:rPr>
              <w:t>：采购人指定的地点。</w:t>
            </w:r>
          </w:p>
          <w:p w14:paraId="29AB0AD4">
            <w:pPr>
              <w:pStyle w:val="8"/>
              <w:spacing w:line="500" w:lineRule="exact"/>
              <w:ind w:firstLine="210" w:firstLineChars="1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（三）售后服务要求</w:t>
            </w:r>
          </w:p>
          <w:p w14:paraId="01DEE51B">
            <w:pPr>
              <w:pStyle w:val="8"/>
              <w:spacing w:line="500" w:lineRule="exact"/>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售后服务期自验收之日起1年。对采购人的服务通知，成交供应商2小时内做出答复，4小时内做出相应故障处理方案并开始实施。若故障无法远程解决，需现场服务，72小时内到达现场，按国家及行业标准对故障进行及时处理。</w:t>
            </w:r>
          </w:p>
          <w:p w14:paraId="1CBE62FC">
            <w:pPr>
              <w:pStyle w:val="8"/>
              <w:spacing w:line="500" w:lineRule="exact"/>
              <w:ind w:firstLine="210" w:firstLineChars="1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（四）报价要求</w:t>
            </w:r>
          </w:p>
          <w:p w14:paraId="21B056A6">
            <w:pPr>
              <w:pStyle w:val="8"/>
              <w:spacing w:line="500" w:lineRule="exact"/>
              <w:ind w:firstLine="420" w:firstLineChars="2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1. 报价超出预算金额的列为无效响应处理。</w:t>
            </w:r>
          </w:p>
          <w:p w14:paraId="6ADCF196">
            <w:pPr>
              <w:pStyle w:val="8"/>
              <w:spacing w:line="500" w:lineRule="exact"/>
              <w:ind w:firstLine="420" w:firstLineChars="2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2. 响应供应商必须对本项目的全部内容进行响应报价，如有缺漏，将导致响应无效。</w:t>
            </w:r>
          </w:p>
          <w:p w14:paraId="7AB41102">
            <w:pPr>
              <w:pStyle w:val="8"/>
              <w:spacing w:line="500" w:lineRule="exact"/>
              <w:ind w:firstLine="420" w:firstLineChars="2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3. 报价应为人民币含税全包价，包含设备费、人工费、管理费、运输费、税金及风险费用等与本项目有关的一切费用。</w:t>
            </w:r>
          </w:p>
          <w:p w14:paraId="61D9BFC8">
            <w:pPr>
              <w:pStyle w:val="8"/>
              <w:spacing w:line="500" w:lineRule="exact"/>
              <w:ind w:firstLine="420" w:firstLineChars="2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4. 报价需附详细的产品清单（包含项目建设使用到的主材、辅材等）及企业营业执照。</w:t>
            </w:r>
          </w:p>
          <w:p w14:paraId="16735AFA">
            <w:pPr>
              <w:pStyle w:val="8"/>
              <w:spacing w:line="500" w:lineRule="exact"/>
              <w:ind w:left="420" w:leftChars="200" w:firstLine="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（五）付款方式</w:t>
            </w:r>
          </w:p>
          <w:p w14:paraId="6669767A">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 本项目分两期支付；</w:t>
            </w:r>
          </w:p>
          <w:p w14:paraId="60BF1F7A">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 签定合约后支付总款项的60%；</w:t>
            </w:r>
          </w:p>
          <w:p w14:paraId="52D6DF0C">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 项目验收后一个月内，支付余下总款项的40%；</w:t>
            </w:r>
          </w:p>
          <w:p w14:paraId="0AB6F44D">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4. 每笔款项支付时，中标人同时向采购人提供相应金额的正式发票或效力等同于发票的票据。 </w:t>
            </w:r>
          </w:p>
          <w:p w14:paraId="4060364E">
            <w:pPr>
              <w:pStyle w:val="8"/>
              <w:spacing w:line="500" w:lineRule="exact"/>
              <w:ind w:firstLine="422" w:firstLineChars="20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（六）违约责任与赔偿损失</w:t>
            </w:r>
          </w:p>
          <w:p w14:paraId="1D86701D">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 成交供应商交付的货物、提供的服务不符合本项目规定的，采购人有权拒收，并且成交供应商须向采购人支付本合同总价5%的违约金。</w:t>
            </w:r>
          </w:p>
          <w:p w14:paraId="69CA3A8A">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 成交供应商未能按本项目规定的服务期交付货物/提供服务，从逾期之日起每日按本合同总价3‰的数额向采购人支付违约金；逾期半个月以上的，采购人有权终止合同，由此造成的采购人经济损失由成交供应商承担。</w:t>
            </w:r>
          </w:p>
          <w:p w14:paraId="4743639B">
            <w:pPr>
              <w:pStyle w:val="8"/>
              <w:spacing w:line="50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 采购人无正当理由拒收货物/接受服务，到期拒付货物/服务款项的，采购人向成交供应商偿付本合同总的5%的违约金。采购人人逾期付款，则每日按本合同总价的3‰向成交供应商偿付违约金。</w:t>
            </w:r>
          </w:p>
          <w:p w14:paraId="3C96C35F">
            <w:pPr>
              <w:pStyle w:val="8"/>
              <w:spacing w:line="500" w:lineRule="exact"/>
              <w:ind w:firstLine="420" w:firstLineChars="20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kern w:val="2"/>
                <w:sz w:val="21"/>
                <w:szCs w:val="21"/>
              </w:rPr>
              <w:t>4. 其它违约责任按《中华人民共和国民法典》处理。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8"/>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r>
        <w:rPr>
          <w:rFonts w:hint="eastAsia" w:ascii="宋体" w:hAnsi="宋体" w:cs="宋体"/>
          <w:i w:val="0"/>
          <w:iCs w:val="0"/>
          <w:color w:val="000000"/>
          <w:kern w:val="0"/>
          <w:sz w:val="21"/>
          <w:szCs w:val="21"/>
          <w:u w:val="none"/>
          <w:lang w:val="en-US" w:eastAsia="zh-CN" w:bidi="ar"/>
        </w:rPr>
        <w:t>xxx有限公司</w:t>
      </w:r>
    </w:p>
    <w:p w14:paraId="1E556C71">
      <w:pPr>
        <w:pStyle w:val="8"/>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 xml:space="preserve"> 2026 年 06 月 30 日</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CD4CD"/>
    <w:multiLevelType w:val="singleLevel"/>
    <w:tmpl w:val="EAECD4CD"/>
    <w:lvl w:ilvl="0" w:tentative="0">
      <w:start w:val="4"/>
      <w:numFmt w:val="chineseCounting"/>
      <w:suff w:val="nothing"/>
      <w:lvlText w:val="%1、"/>
      <w:lvlJc w:val="left"/>
      <w:rPr>
        <w:rFonts w:hint="eastAsia"/>
      </w:rPr>
    </w:lvl>
  </w:abstractNum>
  <w:abstractNum w:abstractNumId="1">
    <w:nsid w:val="0FBD6F6F"/>
    <w:multiLevelType w:val="multilevel"/>
    <w:tmpl w:val="0FBD6F6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155D3A48"/>
    <w:multiLevelType w:val="multilevel"/>
    <w:tmpl w:val="155D3A48"/>
    <w:lvl w:ilvl="0" w:tentative="0">
      <w:start w:val="1"/>
      <w:numFmt w:val="decimal"/>
      <w:lvlText w:val="%1."/>
      <w:lvlJc w:val="left"/>
      <w:pPr>
        <w:ind w:left="900" w:hanging="420"/>
      </w:pPr>
    </w:lvl>
    <w:lvl w:ilvl="1" w:tentative="0">
      <w:start w:val="1"/>
      <w:numFmt w:val="decimal"/>
      <w:lvlText w:val="（%2）"/>
      <w:lvlJc w:val="left"/>
      <w:pPr>
        <w:ind w:left="1620" w:hanging="72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0E5575A8"/>
    <w:rsid w:val="123D323F"/>
    <w:rsid w:val="1A89499E"/>
    <w:rsid w:val="1F81722F"/>
    <w:rsid w:val="22035426"/>
    <w:rsid w:val="24F032B6"/>
    <w:rsid w:val="25A03144"/>
    <w:rsid w:val="2D3816C0"/>
    <w:rsid w:val="308B46F0"/>
    <w:rsid w:val="3F4D3E68"/>
    <w:rsid w:val="44C234DD"/>
    <w:rsid w:val="4D2E66D8"/>
    <w:rsid w:val="4E9F2422"/>
    <w:rsid w:val="587F3F33"/>
    <w:rsid w:val="595440D5"/>
    <w:rsid w:val="6884728A"/>
    <w:rsid w:val="6CE16E6B"/>
    <w:rsid w:val="6FA431BE"/>
    <w:rsid w:val="71BA1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正文正"/>
    <w:basedOn w:val="9"/>
    <w:qFormat/>
    <w:uiPriority w:val="0"/>
    <w:pPr>
      <w:spacing w:line="560" w:lineRule="exact"/>
      <w:ind w:firstLine="561"/>
    </w:pPr>
    <w:rPr>
      <w:rFonts w:ascii="Calibri" w:hAnsi="Calibri"/>
      <w:sz w:val="28"/>
      <w:szCs w:val="24"/>
    </w:rPr>
  </w:style>
  <w:style w:type="paragraph" w:customStyle="1" w:styleId="9">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0">
    <w:name w:val="UserStyle_43"/>
    <w:basedOn w:val="11"/>
    <w:qFormat/>
    <w:uiPriority w:val="0"/>
    <w:rPr>
      <w:rFonts w:ascii="宋体" w:hAnsi="Courier New"/>
      <w:szCs w:val="21"/>
    </w:rPr>
  </w:style>
  <w:style w:type="paragraph" w:customStyle="1" w:styleId="11">
    <w:name w:val="UserStyle_30"/>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2">
    <w:name w:val="UserStyle_20"/>
    <w:basedOn w:val="13"/>
    <w:qFormat/>
    <w:uiPriority w:val="0"/>
    <w:pPr>
      <w:spacing w:line="560" w:lineRule="exact"/>
      <w:ind w:firstLine="561"/>
    </w:pPr>
    <w:rPr>
      <w:rFonts w:eastAsia="仿宋_GB2312"/>
      <w:sz w:val="28"/>
    </w:rPr>
  </w:style>
  <w:style w:type="paragraph" w:customStyle="1" w:styleId="13">
    <w:name w:val="UserStyle_24"/>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4">
    <w:name w:val="NormalCharacter"/>
    <w:qFormat/>
    <w:uiPriority w:val="0"/>
  </w:style>
  <w:style w:type="paragraph" w:customStyle="1" w:styleId="15">
    <w:name w:val="179"/>
    <w:basedOn w:val="11"/>
    <w:qFormat/>
    <w:uiPriority w:val="0"/>
    <w:pPr>
      <w:ind w:firstLine="420" w:firstLineChars="200"/>
    </w:pPr>
    <w:rPr>
      <w:rFonts w:ascii="Calibri" w:hAnsi="Calibri"/>
      <w:szCs w:val="22"/>
    </w:rPr>
  </w:style>
  <w:style w:type="paragraph" w:customStyle="1" w:styleId="16">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4086</Words>
  <Characters>4669</Characters>
  <Lines>0</Lines>
  <Paragraphs>0</Paragraphs>
  <TotalTime>0</TotalTime>
  <ScaleCrop>false</ScaleCrop>
  <LinksUpToDate>false</LinksUpToDate>
  <CharactersWithSpaces>4810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2026-06-24T09:51:54Z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8B0C32D5CD674B3F9CDCB7C3EB1988D9_13</vt:lpwstr>
  </property>
  <property fmtid="{D5CDD505-2E9C-101B-9397-08002B2CF9AE}" pid="4" name="KSOTemplateDocerSaveRecord">
    <vt:lpwstr>eyJoZGlkIjoiODMwNzAyZGZiNDI2NDk5ODY1YmMzMTY3MjUxYjI4MDAiLCJ1c2VySWQiOiI2NTU3NzExNTAifQ==</vt:lpwstr>
  </property>
</Properties>
</file>